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18CD6"/>
        <w:tblLook w:val="0000" w:firstRow="0" w:lastRow="0" w:firstColumn="0" w:lastColumn="0" w:noHBand="0" w:noVBand="0"/>
      </w:tblPr>
      <w:tblGrid>
        <w:gridCol w:w="7281"/>
        <w:gridCol w:w="1727"/>
      </w:tblGrid>
      <w:tr w:rsidR="00B21E09" w14:paraId="4248118D" w14:textId="77777777" w:rsidTr="001E2805">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tcPr>
          <w:p w14:paraId="5BCFDE4D" w14:textId="77777777" w:rsidR="00B21E09" w:rsidRDefault="00B21E09" w:rsidP="00B26590">
            <w:pPr>
              <w:pStyle w:val="Heading4"/>
              <w:ind w:firstLine="0"/>
            </w:pPr>
            <w:r>
              <w:t>SPORTSCIENCE · sportsci.org</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5090137A" w14:textId="77777777" w:rsidR="00B21E09" w:rsidRDefault="00B21E09" w:rsidP="00B26590">
            <w:pPr>
              <w:pStyle w:val="Heading5"/>
              <w:ind w:firstLine="34"/>
              <w:jc w:val="right"/>
            </w:pPr>
            <w:r>
              <w:rPr>
                <w:noProof/>
                <w:lang w:val="en-AU" w:eastAsia="en-AU"/>
              </w:rPr>
              <w:drawing>
                <wp:inline distT="0" distB="0" distL="0" distR="0" wp14:anchorId="53CCCDFD" wp14:editId="73074E21">
                  <wp:extent cx="644400" cy="144000"/>
                  <wp:effectExtent l="0" t="0" r="3810" b="8890"/>
                  <wp:docPr id="4" name="Picture 3"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st issue">
                            <a:hlinkClick r:id="rId8" tgtFrame="_top" tooltip="Link to latest issue of Sportscienc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400" cy="144000"/>
                          </a:xfrm>
                          <a:prstGeom prst="rect">
                            <a:avLst/>
                          </a:prstGeom>
                          <a:noFill/>
                          <a:ln>
                            <a:noFill/>
                          </a:ln>
                        </pic:spPr>
                      </pic:pic>
                    </a:graphicData>
                  </a:graphic>
                </wp:inline>
              </w:drawing>
            </w:r>
          </w:p>
        </w:tc>
      </w:tr>
      <w:tr w:rsidR="00B21E09" w14:paraId="52EB881C" w14:textId="77777777" w:rsidTr="00160CED">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vAlign w:val="center"/>
          </w:tcPr>
          <w:p w14:paraId="61D62D15" w14:textId="77777777" w:rsidR="00B21E09" w:rsidRDefault="00B21E09" w:rsidP="00160CED">
            <w:pPr>
              <w:pStyle w:val="Heading5"/>
              <w:spacing w:before="0"/>
              <w:ind w:firstLine="0"/>
              <w:jc w:val="left"/>
            </w:pPr>
            <w:r>
              <w:t>News &amp; Comment / In Brief</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708C56D1" w14:textId="77777777" w:rsidR="00B21E09" w:rsidRDefault="00B21E09" w:rsidP="00B26590">
            <w:pPr>
              <w:pStyle w:val="Heading5"/>
              <w:ind w:firstLine="34"/>
              <w:jc w:val="right"/>
            </w:pPr>
            <w:r>
              <w:rPr>
                <w:noProof/>
                <w:lang w:val="en-AU" w:eastAsia="en-AU"/>
              </w:rPr>
              <w:drawing>
                <wp:inline distT="0" distB="0" distL="0" distR="0" wp14:anchorId="7A4D456A" wp14:editId="5390934F">
                  <wp:extent cx="547200" cy="136800"/>
                  <wp:effectExtent l="0" t="0" r="5715" b="0"/>
                  <wp:docPr id="3" name="Picture 3"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a:hlinkClick r:id="rId11" tgtFrame="_top" tooltip="Link to issue of Sportscience containing this article"/>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00" cy="136800"/>
                          </a:xfrm>
                          <a:prstGeom prst="rect">
                            <a:avLst/>
                          </a:prstGeom>
                          <a:noFill/>
                          <a:ln>
                            <a:noFill/>
                          </a:ln>
                        </pic:spPr>
                      </pic:pic>
                    </a:graphicData>
                  </a:graphic>
                </wp:inline>
              </w:drawing>
            </w:r>
          </w:p>
        </w:tc>
      </w:tr>
    </w:tbl>
    <w:p w14:paraId="30D18180" w14:textId="77777777" w:rsidR="00B21E09" w:rsidRPr="00CC6963" w:rsidRDefault="00B21E09" w:rsidP="00B26590">
      <w:pPr>
        <w:pStyle w:val="Address"/>
      </w:pPr>
    </w:p>
    <w:tbl>
      <w:tblPr>
        <w:tblW w:w="4491" w:type="pct"/>
        <w:jc w:val="center"/>
        <w:tblBorders>
          <w:top w:val="single" w:sz="4" w:space="0" w:color="999999"/>
          <w:left w:val="single" w:sz="4" w:space="0" w:color="999999"/>
          <w:bottom w:val="single" w:sz="4" w:space="0" w:color="999999"/>
          <w:right w:val="single" w:sz="4" w:space="0" w:color="999999"/>
        </w:tblBorders>
        <w:shd w:val="clear" w:color="auto" w:fill="F9F1F9"/>
        <w:tblLayout w:type="fixed"/>
        <w:tblLook w:val="0000" w:firstRow="0" w:lastRow="0" w:firstColumn="0" w:lastColumn="0" w:noHBand="0" w:noVBand="0"/>
      </w:tblPr>
      <w:tblGrid>
        <w:gridCol w:w="8132"/>
      </w:tblGrid>
      <w:tr w:rsidR="00B21E09" w:rsidRPr="00CC6963" w14:paraId="53B0E4B4" w14:textId="77777777" w:rsidTr="00394846">
        <w:trPr>
          <w:jc w:val="center"/>
        </w:trPr>
        <w:tc>
          <w:tcPr>
            <w:tcW w:w="5000" w:type="pct"/>
            <w:shd w:val="clear" w:color="auto" w:fill="F9F1F9"/>
            <w:tcMar>
              <w:top w:w="57" w:type="dxa"/>
              <w:bottom w:w="57" w:type="dxa"/>
            </w:tcMar>
          </w:tcPr>
          <w:p w14:paraId="50E72F4D" w14:textId="2445CEF4" w:rsidR="008106B0" w:rsidRDefault="004B2234" w:rsidP="008106B0">
            <w:pPr>
              <w:pStyle w:val="ListBullet"/>
              <w:numPr>
                <w:ilvl w:val="0"/>
                <w:numId w:val="44"/>
              </w:numPr>
            </w:pPr>
            <w:hyperlink w:anchor="ssir" w:history="1">
              <w:r w:rsidR="008106B0" w:rsidRPr="000E750A">
                <w:rPr>
                  <w:rStyle w:val="Hyperlink"/>
                  <w:rFonts w:ascii="Arial" w:hAnsi="Arial" w:cs="Arial"/>
                  <w:noProof w:val="0"/>
                  <w:sz w:val="20"/>
                </w:rPr>
                <w:t>Sample Size for Individual Responses</w:t>
              </w:r>
            </w:hyperlink>
            <w:r w:rsidR="008106B0" w:rsidRPr="000E750A">
              <w:t xml:space="preserve">. </w:t>
            </w:r>
            <w:r w:rsidR="008106B0">
              <w:t>Disappointingly large.</w:t>
            </w:r>
          </w:p>
          <w:p w14:paraId="500E8D70" w14:textId="652CFED9" w:rsidR="008106B0" w:rsidRDefault="004B2234" w:rsidP="008106B0">
            <w:pPr>
              <w:pStyle w:val="ListBullet"/>
              <w:numPr>
                <w:ilvl w:val="0"/>
                <w:numId w:val="44"/>
              </w:numPr>
            </w:pPr>
            <w:hyperlink w:anchor="spsr" w:history="1">
              <w:r w:rsidR="008106B0" w:rsidRPr="008106B0">
                <w:rPr>
                  <w:rStyle w:val="Hyperlink"/>
                  <w:rFonts w:ascii="Arial" w:hAnsi="Arial" w:cs="Arial"/>
                  <w:noProof w:val="0"/>
                  <w:sz w:val="20"/>
                </w:rPr>
                <w:t>Sport Performance &amp; Science Reports</w:t>
              </w:r>
            </w:hyperlink>
            <w:r w:rsidR="008106B0" w:rsidRPr="000E750A">
              <w:t xml:space="preserve">. </w:t>
            </w:r>
            <w:r w:rsidR="00317737">
              <w:t>Practitioners' new</w:t>
            </w:r>
            <w:r w:rsidR="008106B0">
              <w:t xml:space="preserve"> journal.</w:t>
            </w:r>
          </w:p>
          <w:p w14:paraId="33FB8883" w14:textId="77777777" w:rsidR="00B21E09" w:rsidRPr="00CC6963" w:rsidRDefault="004B2234" w:rsidP="00C02ED3">
            <w:pPr>
              <w:spacing w:before="80"/>
              <w:ind w:firstLine="210"/>
            </w:pPr>
            <w:hyperlink r:id="rId13" w:tgtFrame="_top" w:history="1">
              <w:r w:rsidR="00C02ED3">
                <w:rPr>
                  <w:rStyle w:val="Hyperlink"/>
                  <w:rFonts w:ascii="Arial" w:hAnsi="Arial" w:cs="Arial"/>
                  <w:noProof w:val="0"/>
                  <w:sz w:val="18"/>
                </w:rPr>
                <w:t>Reprint pdf</w:t>
              </w:r>
            </w:hyperlink>
            <w:r w:rsidR="00C02ED3">
              <w:rPr>
                <w:rFonts w:ascii="Arial" w:hAnsi="Arial" w:cs="Arial"/>
                <w:sz w:val="18"/>
              </w:rPr>
              <w:t> · </w:t>
            </w:r>
            <w:hyperlink r:id="rId14" w:tgtFrame="_top" w:history="1">
              <w:r w:rsidR="00C02ED3">
                <w:rPr>
                  <w:rStyle w:val="Hyperlink"/>
                  <w:rFonts w:ascii="Arial" w:hAnsi="Arial" w:cs="Arial"/>
                  <w:noProof w:val="0"/>
                  <w:sz w:val="18"/>
                </w:rPr>
                <w:t>Reprint docx</w:t>
              </w:r>
            </w:hyperlink>
          </w:p>
        </w:tc>
      </w:tr>
    </w:tbl>
    <w:p w14:paraId="4442ADF0" w14:textId="77777777" w:rsidR="004C0549" w:rsidRDefault="004C0549" w:rsidP="00B26590">
      <w:pPr>
        <w:sectPr w:rsidR="004C0549" w:rsidSect="008E489B">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fmt="lowerRoman"/>
          <w:cols w:space="346"/>
          <w:titlePg/>
        </w:sectPr>
      </w:pPr>
    </w:p>
    <w:p w14:paraId="4D179891" w14:textId="77777777" w:rsidR="00B21E09" w:rsidRPr="00CC6963" w:rsidRDefault="00B21E09" w:rsidP="00B26590">
      <w:bookmarkStart w:id="0" w:name="ssir"/>
      <w:bookmarkEnd w:id="0"/>
    </w:p>
    <w:p w14:paraId="39204DEB" w14:textId="77777777" w:rsidR="004420C2" w:rsidRPr="00000B9C" w:rsidRDefault="004420C2" w:rsidP="004420C2">
      <w:pPr>
        <w:pStyle w:val="Heading2"/>
        <w:shd w:val="clear" w:color="auto" w:fill="F6EAF6"/>
        <w:spacing w:before="60"/>
        <w:jc w:val="left"/>
      </w:pPr>
      <w:r>
        <w:t>Sample Size for Individual Responses</w:t>
      </w:r>
    </w:p>
    <w:p w14:paraId="2759F7C8" w14:textId="25813D6E" w:rsidR="004420C2" w:rsidRDefault="004420C2" w:rsidP="004420C2">
      <w:pPr>
        <w:pStyle w:val="Address"/>
        <w:spacing w:after="60"/>
        <w:rPr>
          <w:rStyle w:val="Hyperlink"/>
          <w:rFonts w:cs="Arial"/>
          <w:noProof w:val="0"/>
          <w:sz w:val="14"/>
          <w:szCs w:val="18"/>
        </w:rPr>
        <w:sectPr w:rsidR="004420C2" w:rsidSect="004C0549">
          <w:headerReference w:type="default" r:id="rId20"/>
          <w:type w:val="continuous"/>
          <w:pgSz w:w="12240" w:h="15840" w:code="1"/>
          <w:pgMar w:top="1134" w:right="1701" w:bottom="1134" w:left="1701" w:header="720" w:footer="720" w:gutter="0"/>
          <w:pgNumType w:fmt="lowerRoman"/>
          <w:cols w:space="346"/>
        </w:sectPr>
      </w:pPr>
      <w:r w:rsidRPr="00BA15CA">
        <w:rPr>
          <w:b/>
          <w:bCs/>
        </w:rPr>
        <w:t>Will G Hopkins</w:t>
      </w:r>
      <w:r>
        <w:t>, Institute of Sport Exercise and Active Living, Victoria University, Melbourne, Australia</w:t>
      </w:r>
      <w:r w:rsidRPr="00CC6963">
        <w:t xml:space="preserve">. </w:t>
      </w:r>
      <w:hyperlink r:id="rId21" w:history="1">
        <w:r w:rsidRPr="00CC6963">
          <w:rPr>
            <w:rStyle w:val="Hyperlink"/>
            <w:b/>
            <w:bCs/>
            <w:noProof w:val="0"/>
          </w:rPr>
          <w:t>Email</w:t>
        </w:r>
      </w:hyperlink>
      <w:r>
        <w:t xml:space="preserve">. </w:t>
      </w:r>
      <w:r w:rsidR="004C750C">
        <w:br/>
      </w:r>
      <w:r>
        <w:t xml:space="preserve">Reviewer: </w:t>
      </w:r>
      <w:r w:rsidRPr="00C21666">
        <w:rPr>
          <w:b/>
        </w:rPr>
        <w:t>Alan M Batterham</w:t>
      </w:r>
      <w:r>
        <w:t>, School of Health and Social Care, University of Teesside, Middlesbrough, UK. Sportscience 2</w:t>
      </w:r>
      <w:r w:rsidR="00CC75FB">
        <w:t>2</w:t>
      </w:r>
      <w:r>
        <w:t>, i-ii</w:t>
      </w:r>
      <w:r w:rsidR="001E1E6C">
        <w:t>i</w:t>
      </w:r>
      <w:r>
        <w:t>, 201</w:t>
      </w:r>
      <w:r w:rsidR="00CC75FB">
        <w:t>8</w:t>
      </w:r>
      <w:r>
        <w:t xml:space="preserve"> (sportsci.org/201</w:t>
      </w:r>
      <w:r w:rsidR="00CC75FB">
        <w:t>8</w:t>
      </w:r>
      <w:r>
        <w:t>/inbrief.htm#</w:t>
      </w:r>
      <w:r w:rsidR="000E750A">
        <w:t>ssir</w:t>
      </w:r>
      <w:r>
        <w:t xml:space="preserve">. </w:t>
      </w:r>
      <w:r w:rsidRPr="00CC6963">
        <w:t xml:space="preserve">Published </w:t>
      </w:r>
      <w:r w:rsidR="008E489B">
        <w:t>Jan</w:t>
      </w:r>
      <w:r>
        <w:t xml:space="preserve"> 201</w:t>
      </w:r>
      <w:r w:rsidR="008E489B">
        <w:t>8</w:t>
      </w:r>
      <w:r w:rsidRPr="00CC6963">
        <w:t xml:space="preserve">. </w:t>
      </w:r>
      <w:hyperlink r:id="rId22" w:history="1">
        <w:r w:rsidRPr="00CC6963">
          <w:rPr>
            <w:rStyle w:val="Hyperlink"/>
            <w:rFonts w:cs="Arial"/>
            <w:noProof w:val="0"/>
            <w:sz w:val="14"/>
            <w:szCs w:val="18"/>
          </w:rPr>
          <w:t>©20</w:t>
        </w:r>
        <w:r>
          <w:rPr>
            <w:rStyle w:val="Hyperlink"/>
            <w:rFonts w:cs="Arial"/>
            <w:noProof w:val="0"/>
            <w:sz w:val="14"/>
            <w:szCs w:val="18"/>
          </w:rPr>
          <w:t>1</w:t>
        </w:r>
        <w:r w:rsidR="008E489B">
          <w:rPr>
            <w:rStyle w:val="Hyperlink"/>
            <w:rFonts w:cs="Arial"/>
            <w:noProof w:val="0"/>
            <w:sz w:val="14"/>
            <w:szCs w:val="18"/>
          </w:rPr>
          <w:t>8</w:t>
        </w:r>
      </w:hyperlink>
    </w:p>
    <w:p w14:paraId="41836B1A" w14:textId="58749F7D" w:rsidR="00861A52" w:rsidRDefault="004420C2" w:rsidP="004420C2">
      <w:r>
        <w:t xml:space="preserve">In </w:t>
      </w:r>
      <w:r w:rsidR="000E750A">
        <w:t>the</w:t>
      </w:r>
      <w:r>
        <w:t xml:space="preserve"> </w:t>
      </w:r>
      <w:hyperlink r:id="rId23" w:history="1">
        <w:r w:rsidRPr="004420C2">
          <w:rPr>
            <w:rStyle w:val="Hyperlink"/>
            <w:noProof w:val="0"/>
          </w:rPr>
          <w:t>article on sample-size estimation</w:t>
        </w:r>
      </w:hyperlink>
      <w:r w:rsidR="00887B54">
        <w:t xml:space="preserve"> </w:t>
      </w:r>
      <w:r w:rsidR="00EA2CEB">
        <w:fldChar w:fldCharType="begin"/>
      </w:r>
      <w:r w:rsidR="00EA2CEB">
        <w:instrText xml:space="preserve"> ADDIN EN.CITE &lt;EndNote&gt;&lt;Cite&gt;&lt;Author&gt;Hopkins&lt;/Author&gt;&lt;Year&gt;2006&lt;/Year&gt;&lt;RecNum&gt;2&lt;/RecNum&gt;&lt;DisplayText&gt;(Hopkins, 2006)&lt;/DisplayText&gt;&lt;record&gt;&lt;rec-number&gt;2&lt;/rec-number&gt;&lt;foreign-keys&gt;&lt;key app="EN" db-id="e9w2epsvaeafste225tptxe6ar9w2a5d0trf"&gt;2&lt;/key&gt;&lt;/foreign-keys&gt;&lt;ref-type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will=AT=clear.net.nz&lt;/auth-address&gt;&lt;titles&gt;&lt;title&gt;Estimating sample size for magnitude-based inferences&lt;/title&gt;&lt;secondary-title&gt;Sportscience&lt;/secondary-title&gt;&lt;/titles&gt;&lt;pages&gt;63-70&lt;/pages&gt;&lt;volume&gt;10&lt;/volume&gt;&lt;keywords&gt;&lt;keyword&gt;confidence limits, research design, statistical power, Type 1 error, Type 2 error&lt;/keyword&gt;&lt;/keywords&gt;&lt;dates&gt;&lt;year&gt;2006&lt;/year&gt;&lt;/dates&gt;&lt;urls&gt;&lt;related-urls&gt;&lt;url&gt;http://sportsci.org/2006/wghss.htm&lt;/url&gt;&lt;/related-urls&gt;&lt;/urls&gt;&lt;/record&gt;&lt;/Cite&gt;&lt;/EndNote&gt;</w:instrText>
      </w:r>
      <w:r w:rsidR="00EA2CEB">
        <w:fldChar w:fldCharType="separate"/>
      </w:r>
      <w:r w:rsidR="00EA2CEB">
        <w:rPr>
          <w:noProof/>
        </w:rPr>
        <w:t>(</w:t>
      </w:r>
      <w:hyperlink w:anchor="_ENREF_1" w:tooltip="Hopkins, 2006 #2" w:history="1">
        <w:r w:rsidR="00EA2CEB">
          <w:rPr>
            <w:noProof/>
          </w:rPr>
          <w:t>Hopkins, 2006</w:t>
        </w:r>
      </w:hyperlink>
      <w:r w:rsidR="00EA2CEB">
        <w:rPr>
          <w:noProof/>
        </w:rPr>
        <w:t>)</w:t>
      </w:r>
      <w:r w:rsidR="00EA2CEB">
        <w:fldChar w:fldCharType="end"/>
      </w:r>
      <w:r>
        <w:t xml:space="preserve">, I asserted that </w:t>
      </w:r>
      <w:r w:rsidR="00E1777B">
        <w:t xml:space="preserve">sample size for </w:t>
      </w:r>
      <w:r>
        <w:t>adequate precision for the estimate of the standard deviation representing individual responses in a controlled trial was similar to that for the subject characteristics that potentially explain the individual responses. That assertion was incorrect. In this In-brief item I show that the required sample size in the worst-case scenario of zero mean change and zero individual responses is 6.5n</w:t>
      </w:r>
      <w:r>
        <w:rPr>
          <w:vertAlign w:val="superscript"/>
        </w:rPr>
        <w:t>2</w:t>
      </w:r>
      <w:r>
        <w:t xml:space="preserve">, where n is the sample size for adequate precision of the mean. Since n is usually at least </w:t>
      </w:r>
      <w:r w:rsidR="005D4C59">
        <w:t xml:space="preserve">20, planning for adequate precision of the estimate of individual responses is obviously impractical. Instead, researchers should plan for adequate precision of the subject characteristics and mechanism variables that might explain individual responses, since their sample size in the worst-case scenario </w:t>
      </w:r>
      <w:r w:rsidR="00AD48FB">
        <w:t>is</w:t>
      </w:r>
      <w:r w:rsidR="005D4C59">
        <w:t xml:space="preserve"> </w:t>
      </w:r>
      <w:r w:rsidR="001572D3">
        <w:t>"</w:t>
      </w:r>
      <w:r w:rsidR="005D4C59">
        <w:t>only</w:t>
      </w:r>
      <w:r w:rsidR="001572D3">
        <w:t>"</w:t>
      </w:r>
      <w:r w:rsidR="005D4C59">
        <w:t xml:space="preserve"> 4n</w:t>
      </w:r>
      <w:r w:rsidR="00887B54">
        <w:t xml:space="preserve"> </w:t>
      </w:r>
      <w:r w:rsidR="00EA2CEB">
        <w:fldChar w:fldCharType="begin"/>
      </w:r>
      <w:r w:rsidR="00EA2CEB">
        <w:instrText xml:space="preserve"> ADDIN EN.CITE &lt;EndNote&gt;&lt;Cite&gt;&lt;Author&gt;Hopkins&lt;/Author&gt;&lt;Year&gt;2006&lt;/Year&gt;&lt;RecNum&gt;2&lt;/RecNum&gt;&lt;DisplayText&gt;(Hopkins, 2006)&lt;/DisplayText&gt;&lt;record&gt;&lt;rec-number&gt;2&lt;/rec-number&gt;&lt;foreign-keys&gt;&lt;key app="EN" db-id="e9w2epsvaeafste225tptxe6ar9w2a5d0trf"&gt;2&lt;/key&gt;&lt;/foreign-keys&gt;&lt;ref-type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will=AT=clear.net.nz&lt;/auth-address&gt;&lt;titles&gt;&lt;title&gt;Estimating sample size for magnitude-based inferences&lt;/title&gt;&lt;secondary-title&gt;Sportscience&lt;/secondary-title&gt;&lt;/titles&gt;&lt;pages&gt;63-70&lt;/pages&gt;&lt;volume&gt;10&lt;/volume&gt;&lt;keywords&gt;&lt;keyword&gt;confidence limits, research design, statistical power, Type 1 error, Type 2 error&lt;/keyword&gt;&lt;/keywords&gt;&lt;dates&gt;&lt;year&gt;2006&lt;/year&gt;&lt;/dates&gt;&lt;urls&gt;&lt;related-urls&gt;&lt;url&gt;http://sportsci.org/2006/wghss.htm&lt;/url&gt;&lt;/related-urls&gt;&lt;/urls&gt;&lt;/record&gt;&lt;/Cite&gt;&lt;/EndNote&gt;</w:instrText>
      </w:r>
      <w:r w:rsidR="00EA2CEB">
        <w:fldChar w:fldCharType="separate"/>
      </w:r>
      <w:r w:rsidR="00EA2CEB">
        <w:rPr>
          <w:noProof/>
        </w:rPr>
        <w:t>(</w:t>
      </w:r>
      <w:hyperlink w:anchor="_ENREF_1" w:tooltip="Hopkins, 2006 #2" w:history="1">
        <w:r w:rsidR="00EA2CEB">
          <w:rPr>
            <w:noProof/>
          </w:rPr>
          <w:t>Hopkins, 2006</w:t>
        </w:r>
      </w:hyperlink>
      <w:r w:rsidR="00EA2CEB">
        <w:rPr>
          <w:noProof/>
        </w:rPr>
        <w:t>)</w:t>
      </w:r>
      <w:r w:rsidR="00EA2CEB">
        <w:fldChar w:fldCharType="end"/>
      </w:r>
      <w:r w:rsidR="005D4C59">
        <w:t>. The standard deviation for individual responses should still be assessed, because the estimate will be clear</w:t>
      </w:r>
      <w:r w:rsidR="00AD48FB">
        <w:t xml:space="preserve"> for sufficiently large values</w:t>
      </w:r>
      <w:r w:rsidR="005D4C59">
        <w:t>, and in any case it is important to know how large the</w:t>
      </w:r>
      <w:r w:rsidR="00887B54">
        <w:t xml:space="preserve"> individual responses might be, </w:t>
      </w:r>
      <w:r w:rsidR="005D4C59">
        <w:t>as shown by the upper confidence li</w:t>
      </w:r>
      <w:r w:rsidR="00887B54">
        <w:t>mit</w:t>
      </w:r>
      <w:r w:rsidR="005D4C59">
        <w:t>.</w:t>
      </w:r>
    </w:p>
    <w:p w14:paraId="7D1605F0" w14:textId="77777777" w:rsidR="00151FD4" w:rsidRDefault="006C7502" w:rsidP="00151FD4">
      <w:r>
        <w:t>The magnitude of individual responses is expressed as a standard deviation</w:t>
      </w:r>
      <w:r w:rsidR="000E750A">
        <w:t xml:space="preserve">, </w:t>
      </w:r>
      <w:r>
        <w:t>SD</w:t>
      </w:r>
      <w:r w:rsidRPr="0019299F">
        <w:rPr>
          <w:vertAlign w:val="subscript"/>
        </w:rPr>
        <w:t>IR</w:t>
      </w:r>
      <w:r>
        <w:t xml:space="preserve"> (e.g., ±2.6% around the treatment's mean effect of 1.8%). The sampling variance (standard error squared) in SD</w:t>
      </w:r>
      <w:r>
        <w:rPr>
          <w:vertAlign w:val="subscript"/>
        </w:rPr>
        <w:t>IR</w:t>
      </w:r>
      <w:r>
        <w:rPr>
          <w:vertAlign w:val="superscript"/>
        </w:rPr>
        <w:t>2</w:t>
      </w:r>
      <w:r>
        <w:t xml:space="preserve"> is given by statistical first principles as 2V</w:t>
      </w:r>
      <w:r>
        <w:rPr>
          <w:vertAlign w:val="superscript"/>
        </w:rPr>
        <w:t>2</w:t>
      </w:r>
      <w:r>
        <w:t>/DF, where V=SD</w:t>
      </w:r>
      <w:r>
        <w:rPr>
          <w:vertAlign w:val="subscript"/>
        </w:rPr>
        <w:t>IR</w:t>
      </w:r>
      <w:r>
        <w:rPr>
          <w:vertAlign w:val="superscript"/>
        </w:rPr>
        <w:t>2</w:t>
      </w:r>
      <w:r>
        <w:t xml:space="preserve"> and DF is the degrees of freedom of the SD</w:t>
      </w:r>
      <w:r>
        <w:rPr>
          <w:vertAlign w:val="subscript"/>
        </w:rPr>
        <w:t>IR</w:t>
      </w:r>
      <w:r>
        <w:t>. V is the difference in the variances of the change scores in the experimental and control groups; hence the sampling variance of SD</w:t>
      </w:r>
      <w:r>
        <w:rPr>
          <w:vertAlign w:val="subscript"/>
        </w:rPr>
        <w:t>IR</w:t>
      </w:r>
      <w:r>
        <w:rPr>
          <w:vertAlign w:val="superscript"/>
        </w:rPr>
        <w:t>2</w:t>
      </w:r>
      <w:r>
        <w:t xml:space="preserve"> is 2SD</w:t>
      </w:r>
      <w:r>
        <w:rPr>
          <w:vertAlign w:val="subscript"/>
        </w:rPr>
        <w:sym w:font="Symbol" w:char="F044"/>
      </w:r>
      <w:r>
        <w:rPr>
          <w:vertAlign w:val="subscript"/>
        </w:rPr>
        <w:t>E</w:t>
      </w:r>
      <w:r>
        <w:rPr>
          <w:vertAlign w:val="superscript"/>
        </w:rPr>
        <w:t>4</w:t>
      </w:r>
      <w:r>
        <w:t>/(n</w:t>
      </w:r>
      <w:r>
        <w:rPr>
          <w:vertAlign w:val="subscript"/>
        </w:rPr>
        <w:t>IR</w:t>
      </w:r>
      <w:r w:rsidRPr="00D7355B">
        <w:t>-1</w:t>
      </w:r>
      <w:r>
        <w:t>)</w:t>
      </w:r>
      <w:r w:rsidR="00C41294">
        <w:t xml:space="preserve"> </w:t>
      </w:r>
      <w:r>
        <w:t>+</w:t>
      </w:r>
      <w:r w:rsidR="00C41294">
        <w:t xml:space="preserve"> </w:t>
      </w:r>
      <w:r>
        <w:t>2SD</w:t>
      </w:r>
      <w:r>
        <w:rPr>
          <w:vertAlign w:val="subscript"/>
        </w:rPr>
        <w:sym w:font="Symbol" w:char="F044"/>
      </w:r>
      <w:r>
        <w:rPr>
          <w:vertAlign w:val="subscript"/>
        </w:rPr>
        <w:t>C</w:t>
      </w:r>
      <w:r>
        <w:rPr>
          <w:vertAlign w:val="superscript"/>
        </w:rPr>
        <w:t>4</w:t>
      </w:r>
      <w:r>
        <w:t>/(n</w:t>
      </w:r>
      <w:r>
        <w:rPr>
          <w:vertAlign w:val="subscript"/>
        </w:rPr>
        <w:t>IR</w:t>
      </w:r>
      <w:r w:rsidRPr="00FA072F">
        <w:t>-1</w:t>
      </w:r>
      <w:r>
        <w:t>), where SD</w:t>
      </w:r>
      <w:r>
        <w:rPr>
          <w:vertAlign w:val="subscript"/>
        </w:rPr>
        <w:sym w:font="Symbol" w:char="F044"/>
      </w:r>
      <w:r>
        <w:rPr>
          <w:vertAlign w:val="subscript"/>
        </w:rPr>
        <w:t>E</w:t>
      </w:r>
      <w:r>
        <w:t xml:space="preserve"> and SD</w:t>
      </w:r>
      <w:r>
        <w:rPr>
          <w:vertAlign w:val="subscript"/>
        </w:rPr>
        <w:sym w:font="Symbol" w:char="F044"/>
      </w:r>
      <w:r>
        <w:rPr>
          <w:vertAlign w:val="subscript"/>
        </w:rPr>
        <w:t>E</w:t>
      </w:r>
      <w:r>
        <w:t xml:space="preserve"> are the standard deviations of change scores in the experimental and control groups, and n</w:t>
      </w:r>
      <w:r>
        <w:rPr>
          <w:vertAlign w:val="subscript"/>
        </w:rPr>
        <w:t>IR</w:t>
      </w:r>
      <w:r>
        <w:t xml:space="preserve"> is the sample size required in each group (assumed </w:t>
      </w:r>
      <w:r>
        <w:t>equal) to give adequate precision to SD</w:t>
      </w:r>
      <w:r>
        <w:rPr>
          <w:vertAlign w:val="subscript"/>
        </w:rPr>
        <w:t>IR</w:t>
      </w:r>
      <w:r>
        <w:t>. The square root of this expression is the sampling standard error of SD</w:t>
      </w:r>
      <w:r>
        <w:rPr>
          <w:vertAlign w:val="subscript"/>
        </w:rPr>
        <w:t>IR</w:t>
      </w:r>
      <w:r>
        <w:rPr>
          <w:vertAlign w:val="superscript"/>
        </w:rPr>
        <w:t>2</w:t>
      </w:r>
      <w:r>
        <w:t>. In the worst case-scenario, SD</w:t>
      </w:r>
      <w:r>
        <w:rPr>
          <w:vertAlign w:val="subscript"/>
        </w:rPr>
        <w:t>IR</w:t>
      </w:r>
      <w:r>
        <w:t xml:space="preserve"> = 0, so SD</w:t>
      </w:r>
      <w:r>
        <w:rPr>
          <w:vertAlign w:val="subscript"/>
        </w:rPr>
        <w:sym w:font="Symbol" w:char="F044"/>
      </w:r>
      <w:r>
        <w:rPr>
          <w:vertAlign w:val="subscript"/>
        </w:rPr>
        <w:t>E</w:t>
      </w:r>
      <w:r>
        <w:t xml:space="preserve"> = SD</w:t>
      </w:r>
      <w:r>
        <w:rPr>
          <w:vertAlign w:val="subscript"/>
        </w:rPr>
        <w:sym w:font="Symbol" w:char="F044"/>
      </w:r>
      <w:r>
        <w:rPr>
          <w:vertAlign w:val="subscript"/>
        </w:rPr>
        <w:t>C</w:t>
      </w:r>
      <w:r>
        <w:t xml:space="preserve"> = SD</w:t>
      </w:r>
      <w:r>
        <w:rPr>
          <w:vertAlign w:val="subscript"/>
        </w:rPr>
        <w:sym w:font="Symbol" w:char="F044"/>
      </w:r>
      <w:r>
        <w:t>, so the sampling standard error of SD</w:t>
      </w:r>
      <w:r>
        <w:rPr>
          <w:vertAlign w:val="subscript"/>
        </w:rPr>
        <w:t>IR</w:t>
      </w:r>
      <w:r>
        <w:rPr>
          <w:vertAlign w:val="superscript"/>
        </w:rPr>
        <w:t>2</w:t>
      </w:r>
      <w:r>
        <w:t xml:space="preserve"> is 2SD</w:t>
      </w:r>
      <w:r>
        <w:rPr>
          <w:vertAlign w:val="subscript"/>
        </w:rPr>
        <w:sym w:font="Symbol" w:char="F044"/>
      </w:r>
      <w:r>
        <w:rPr>
          <w:vertAlign w:val="superscript"/>
        </w:rPr>
        <w:t>2</w:t>
      </w:r>
      <w:r>
        <w:t>/</w:t>
      </w:r>
      <w:r>
        <w:sym w:font="Symbol" w:char="F0D6"/>
      </w:r>
      <w:r>
        <w:t>(n</w:t>
      </w:r>
      <w:r>
        <w:rPr>
          <w:vertAlign w:val="subscript"/>
        </w:rPr>
        <w:t>IR</w:t>
      </w:r>
      <w:r>
        <w:t>-1). The sampling standard error of SD</w:t>
      </w:r>
      <w:r>
        <w:rPr>
          <w:vertAlign w:val="subscript"/>
        </w:rPr>
        <w:t>IR</w:t>
      </w:r>
      <w:r>
        <w:t xml:space="preserve"> is not exactly equal to the square root of this expression. In a </w:t>
      </w:r>
      <w:hyperlink r:id="rId24" w:tgtFrame="_blank" w:history="1">
        <w:r w:rsidRPr="00045D2A">
          <w:rPr>
            <w:rStyle w:val="Hyperlink"/>
            <w:noProof w:val="0"/>
          </w:rPr>
          <w:t>simple simulation</w:t>
        </w:r>
      </w:hyperlink>
      <w:r>
        <w:t xml:space="preserve"> of a normally distributed variance with mean zero, the expected sampling standard error of the square root of the variance is ~0.80 of the square root of the sampling variance of the variance. Hence the sampling standard error of SD</w:t>
      </w:r>
      <w:r>
        <w:rPr>
          <w:vertAlign w:val="subscript"/>
        </w:rPr>
        <w:t>IR</w:t>
      </w:r>
      <w:r>
        <w:t xml:space="preserve"> is 0.80</w:t>
      </w:r>
      <w:r>
        <w:sym w:font="Symbol" w:char="F0D6"/>
      </w:r>
      <w:r>
        <w:t>[2SD</w:t>
      </w:r>
      <w:r>
        <w:rPr>
          <w:vertAlign w:val="subscript"/>
        </w:rPr>
        <w:sym w:font="Symbol" w:char="F044"/>
      </w:r>
      <w:r>
        <w:rPr>
          <w:vertAlign w:val="superscript"/>
        </w:rPr>
        <w:t>2</w:t>
      </w:r>
      <w:r>
        <w:t>/</w:t>
      </w:r>
      <w:r>
        <w:sym w:font="Symbol" w:char="F0D6"/>
      </w:r>
      <w:r>
        <w:t>(n</w:t>
      </w:r>
      <w:r>
        <w:rPr>
          <w:vertAlign w:val="subscript"/>
        </w:rPr>
        <w:t>IR</w:t>
      </w:r>
      <w:r>
        <w:t xml:space="preserve">-1)]. </w:t>
      </w:r>
      <w:r w:rsidR="005354ED">
        <w:t>Since n</w:t>
      </w:r>
      <w:r w:rsidR="005354ED">
        <w:rPr>
          <w:vertAlign w:val="subscript"/>
        </w:rPr>
        <w:t>IR</w:t>
      </w:r>
      <w:r w:rsidR="005354ED">
        <w:t xml:space="preserve"> turns out to be very much greater than 1, it follows that the uncertainty in SD</w:t>
      </w:r>
      <w:r w:rsidR="005354ED">
        <w:rPr>
          <w:vertAlign w:val="subscript"/>
        </w:rPr>
        <w:t>IR</w:t>
      </w:r>
      <w:r w:rsidR="005354ED">
        <w:t xml:space="preserve"> is inversely proportional to the fourth root of the sample size, whereas the uncertainty in mean effects is </w:t>
      </w:r>
      <w:r w:rsidR="005849D1">
        <w:t xml:space="preserve">inversely </w:t>
      </w:r>
      <w:r w:rsidR="005354ED">
        <w:t>proportional only to the square root.</w:t>
      </w:r>
    </w:p>
    <w:p w14:paraId="1806EAEF" w14:textId="395E98BB" w:rsidR="00594100" w:rsidRDefault="006C7502" w:rsidP="00151FD4">
      <w:r>
        <w:t xml:space="preserve">Now, the smallest important value of a standard deviation is half that of a difference or change in a mean </w:t>
      </w:r>
      <w:r w:rsidR="00EA2CEB">
        <w:fldChar w:fldCharType="begin"/>
      </w:r>
      <w:r w:rsidR="00EA2CEB">
        <w:instrText xml:space="preserve"> ADDIN EN.CITE &lt;EndNote&gt;&lt;Cite&gt;&lt;Author&gt;Smith&lt;/Author&gt;&lt;Year&gt;2011&lt;/Year&gt;&lt;RecNum&gt;3&lt;/RecNum&gt;&lt;Suffix&gt;`; further justification provided below&lt;/Suffix&gt;&lt;DisplayText&gt;(Smith and Hopkins, 2011; further justification provided below)&lt;/DisplayText&gt;&lt;record&gt;&lt;rec-number&gt;3&lt;/rec-number&gt;&lt;foreign-keys&gt;&lt;key app="EN" db-id="e9w2epsvaeafste225tptxe6ar9w2a5d0trf"&gt;3&lt;/key&gt;&lt;/foreign-keys&gt;&lt;ref-type name="Journal Article"&gt;17&lt;/ref-type&gt;&lt;contributors&gt;&lt;authors&gt;&lt;author&gt;Smith, T B&lt;/author&gt;&lt;author&gt;Hopkins, W G&lt;/author&gt;&lt;/authors&gt;&lt;/contributors&gt;&lt;titles&gt;&lt;title&gt;Variability and predictability of finals times of elite rowers&lt;/title&gt;&lt;secondary-title&gt;Medicine and Science in Sports and Exercise&lt;/secondary-title&gt;&lt;/titles&gt;&lt;pages&gt;2155-2160&lt;/pages&gt;&lt;volume&gt;43&lt;/volume&gt;&lt;dates&gt;&lt;year&gt;2011&lt;/year&gt;&lt;/dates&gt;&lt;urls&gt;&lt;/urls&gt;&lt;/record&gt;&lt;/Cite&gt;&lt;/EndNote&gt;</w:instrText>
      </w:r>
      <w:r w:rsidR="00EA2CEB">
        <w:fldChar w:fldCharType="separate"/>
      </w:r>
      <w:r w:rsidR="00EA2CEB">
        <w:rPr>
          <w:noProof/>
        </w:rPr>
        <w:t>(</w:t>
      </w:r>
      <w:hyperlink w:anchor="_ENREF_3" w:tooltip="Smith, 2011 #3" w:history="1">
        <w:r w:rsidR="00EA2CEB">
          <w:rPr>
            <w:noProof/>
          </w:rPr>
          <w:t>Smith and Hopkins, 2011</w:t>
        </w:r>
      </w:hyperlink>
      <w:r w:rsidR="00EA2CEB">
        <w:rPr>
          <w:noProof/>
        </w:rPr>
        <w:t>)</w:t>
      </w:r>
      <w:r w:rsidR="00EA2CEB">
        <w:fldChar w:fldCharType="end"/>
      </w:r>
      <w:r>
        <w:t xml:space="preserve">. </w:t>
      </w:r>
      <w:r w:rsidR="008B0130">
        <w:t xml:space="preserve">Evidence that this rule applies to </w:t>
      </w:r>
      <w:r w:rsidR="00E85168">
        <w:t>SD</w:t>
      </w:r>
      <w:r w:rsidR="00E85168">
        <w:rPr>
          <w:vertAlign w:val="subscript"/>
        </w:rPr>
        <w:t>IR</w:t>
      </w:r>
      <w:r w:rsidR="00E85168">
        <w:t xml:space="preserve"> </w:t>
      </w:r>
      <w:r w:rsidR="00952402">
        <w:t>is provided by considering</w:t>
      </w:r>
      <w:r w:rsidR="00594100">
        <w:t xml:space="preserve"> how the proportions of positive, trivi</w:t>
      </w:r>
      <w:bookmarkStart w:id="1" w:name="_GoBack"/>
      <w:bookmarkEnd w:id="1"/>
      <w:r w:rsidR="00594100">
        <w:t>al</w:t>
      </w:r>
      <w:r w:rsidR="008B0130">
        <w:t>,</w:t>
      </w:r>
      <w:r w:rsidR="00594100">
        <w:t xml:space="preserve"> and negative responders </w:t>
      </w:r>
      <w:r w:rsidR="00C434C7">
        <w:t>change as SD</w:t>
      </w:r>
      <w:r w:rsidR="00C434C7">
        <w:rPr>
          <w:vertAlign w:val="subscript"/>
        </w:rPr>
        <w:t>IR</w:t>
      </w:r>
      <w:r w:rsidR="00C434C7">
        <w:t xml:space="preserve"> increases for a given</w:t>
      </w:r>
      <w:r w:rsidR="00594100">
        <w:t xml:space="preserve"> mean effect of the treatment</w:t>
      </w:r>
      <w:r w:rsidR="00977762">
        <w:t xml:space="preserve"> (Table 1).</w:t>
      </w:r>
      <w:r w:rsidR="00151FD4">
        <w:t xml:space="preserve"> </w:t>
      </w:r>
      <w:r w:rsidR="00061BF5">
        <w:t xml:space="preserve">These proportions were derived with </w:t>
      </w:r>
      <w:hyperlink r:id="rId25" w:tgtFrame="_blank" w:history="1">
        <w:r w:rsidR="00061BF5" w:rsidRPr="00061BF5">
          <w:rPr>
            <w:rStyle w:val="Hyperlink"/>
            <w:noProof w:val="0"/>
          </w:rPr>
          <w:t>a spreadsheet</w:t>
        </w:r>
      </w:hyperlink>
      <w:r w:rsidR="00061BF5">
        <w:t xml:space="preserve"> that can also be used to investigate how they are impacted by uncertainty in the SD</w:t>
      </w:r>
      <w:r w:rsidR="00061BF5">
        <w:rPr>
          <w:vertAlign w:val="subscript"/>
        </w:rPr>
        <w:t>IR</w:t>
      </w:r>
      <w:r w:rsidR="00061BF5">
        <w:t xml:space="preserve">. On </w:t>
      </w:r>
      <w:r w:rsidR="00C434C7">
        <w:t>the reasonable assumption that a</w:t>
      </w:r>
      <w:r w:rsidR="00977762">
        <w:t xml:space="preserve"> difference of 10% in the proportion of responders is substantial, an SD</w:t>
      </w:r>
      <w:r w:rsidR="00977762" w:rsidRPr="00000DEF">
        <w:rPr>
          <w:vertAlign w:val="subscript"/>
        </w:rPr>
        <w:t>IR</w:t>
      </w:r>
      <w:r w:rsidR="00977762">
        <w:t xml:space="preserve"> of 0.5</w:t>
      </w:r>
      <w:r w:rsidR="00977762">
        <w:sym w:font="Symbol" w:char="F0B4"/>
      </w:r>
      <w:r w:rsidR="00977762">
        <w:t xml:space="preserve"> the</w:t>
      </w:r>
      <w:r w:rsidR="00C434C7">
        <w:t xml:space="preserve"> smallest important mean change </w:t>
      </w:r>
      <w:r w:rsidR="00977762">
        <w:t>produce</w:t>
      </w:r>
      <w:r w:rsidR="00C434C7">
        <w:t>s</w:t>
      </w:r>
      <w:r w:rsidR="00977762">
        <w:t xml:space="preserve"> a substantial difference in proportions of responders when the mean change is</w:t>
      </w:r>
      <w:r w:rsidR="00DC0373">
        <w:t xml:space="preserve"> trivial</w:t>
      </w:r>
      <w:r w:rsidR="00977762">
        <w:t xml:space="preserve"> </w:t>
      </w:r>
      <w:r w:rsidR="00DC0373">
        <w:t>(</w:t>
      </w:r>
      <w:r w:rsidR="00977762">
        <w:t>0.5</w:t>
      </w:r>
      <w:r w:rsidR="00977762">
        <w:sym w:font="Symbol" w:char="F0B4"/>
      </w:r>
      <w:r w:rsidR="00977762">
        <w:t xml:space="preserve"> the smallest important change</w:t>
      </w:r>
      <w:r w:rsidR="00DC0373">
        <w:t>)</w:t>
      </w:r>
      <w:r w:rsidR="00C434C7">
        <w:t>, and an SD</w:t>
      </w:r>
      <w:r w:rsidR="00C434C7" w:rsidRPr="00000DEF">
        <w:rPr>
          <w:vertAlign w:val="subscript"/>
        </w:rPr>
        <w:t>IR</w:t>
      </w:r>
      <w:r w:rsidR="00C434C7">
        <w:t xml:space="preserve"> of 1.0</w:t>
      </w:r>
      <w:r w:rsidR="00C434C7">
        <w:sym w:font="Symbol" w:char="F0B4"/>
      </w:r>
      <w:r w:rsidR="00C434C7">
        <w:t xml:space="preserve"> produces substantial differences in proportions</w:t>
      </w:r>
      <w:r w:rsidR="00DC0373">
        <w:t xml:space="preserve"> when the mean change is zero or trivial</w:t>
      </w:r>
      <w:r w:rsidR="00977762">
        <w:t xml:space="preserve">. </w:t>
      </w:r>
      <w:r w:rsidR="00DC0373">
        <w:t>Larger values of SD</w:t>
      </w:r>
      <w:r w:rsidR="00DC0373" w:rsidRPr="00000DEF">
        <w:rPr>
          <w:vertAlign w:val="subscript"/>
        </w:rPr>
        <w:t>IR</w:t>
      </w:r>
      <w:r w:rsidR="00DC0373">
        <w:t xml:space="preserve"> are needed for substantial changes in proportions </w:t>
      </w:r>
      <w:r w:rsidR="001E1E6C">
        <w:t xml:space="preserve">when changes in the </w:t>
      </w:r>
      <w:r w:rsidR="001E1E6C">
        <w:lastRenderedPageBreak/>
        <w:t>mean are</w:t>
      </w:r>
      <w:r w:rsidR="00DC0373">
        <w:t xml:space="preserve"> s</w:t>
      </w:r>
      <w:r w:rsidR="001E1E6C">
        <w:t>ubstantial.</w:t>
      </w:r>
      <w:r w:rsidR="00DC0373">
        <w:t xml:space="preserve"> </w:t>
      </w:r>
      <w:r w:rsidR="001E1E6C">
        <w:t>Thus</w:t>
      </w:r>
      <w:r w:rsidR="00DC0373">
        <w:t xml:space="preserve"> 0.5</w:t>
      </w:r>
      <w:r w:rsidR="00DC0373">
        <w:sym w:font="Symbol" w:char="F0B4"/>
      </w:r>
      <w:r w:rsidR="00DC0373">
        <w:t xml:space="preserve"> the smallest important mean change </w:t>
      </w:r>
      <w:r w:rsidR="001E1E6C">
        <w:t>is an appropriate small</w:t>
      </w:r>
      <w:r w:rsidR="001E1E6C">
        <w:t>est important value for SD</w:t>
      </w:r>
      <w:r w:rsidR="001E1E6C" w:rsidRPr="00000DEF">
        <w:rPr>
          <w:vertAlign w:val="subscript"/>
        </w:rPr>
        <w:t>IR</w:t>
      </w:r>
      <w:r w:rsidR="001E1E6C">
        <w:t xml:space="preserve"> in the worst-case scenario of trivial changes in the mean</w:t>
      </w:r>
      <w:r w:rsidR="0061621A">
        <w:t>.</w:t>
      </w:r>
    </w:p>
    <w:p w14:paraId="613678C4" w14:textId="77777777" w:rsidR="00EA2CEB" w:rsidRDefault="00EA2CEB" w:rsidP="00EA2CEB">
      <w:pPr>
        <w:sectPr w:rsidR="00EA2CEB" w:rsidSect="00D76971">
          <w:headerReference w:type="default" r:id="rId26"/>
          <w:type w:val="continuous"/>
          <w:pgSz w:w="12240" w:h="15840" w:code="1"/>
          <w:pgMar w:top="1134" w:right="1701" w:bottom="1134" w:left="1701" w:header="720" w:footer="720" w:gutter="0"/>
          <w:pgNumType w:fmt="lowerRoman"/>
          <w:cols w:num="2" w:space="346"/>
          <w:titlePg/>
        </w:sectPr>
      </w:pPr>
    </w:p>
    <w:p w14:paraId="01C3E979" w14:textId="77777777" w:rsidR="00EA2CEB" w:rsidRDefault="00EA2CEB" w:rsidP="00EA2CEB"/>
    <w:tbl>
      <w:tblPr>
        <w:tblStyle w:val="TableGrid"/>
        <w:tblW w:w="31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987"/>
        <w:gridCol w:w="1084"/>
        <w:gridCol w:w="1039"/>
        <w:gridCol w:w="1156"/>
      </w:tblGrid>
      <w:tr w:rsidR="00EA2CEB" w:rsidRPr="000711F2" w14:paraId="65C8A5DE" w14:textId="77777777" w:rsidTr="00610D72">
        <w:trPr>
          <w:trHeight w:val="1326"/>
          <w:jc w:val="center"/>
        </w:trPr>
        <w:tc>
          <w:tcPr>
            <w:tcW w:w="57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DF2FF"/>
            <w:tcMar>
              <w:top w:w="57" w:type="dxa"/>
            </w:tcMar>
            <w:vAlign w:val="bottom"/>
          </w:tcPr>
          <w:p w14:paraId="53E07A82" w14:textId="77777777" w:rsidR="00EA2CEB" w:rsidRPr="008B0130" w:rsidRDefault="00EA2CEB" w:rsidP="00610D72">
            <w:pPr>
              <w:spacing w:after="60"/>
              <w:ind w:firstLine="0"/>
              <w:rPr>
                <w:rFonts w:ascii="Arial Narrow" w:hAnsi="Arial Narrow"/>
              </w:rPr>
            </w:pPr>
            <w:r w:rsidRPr="008B0130">
              <w:rPr>
                <w:rFonts w:ascii="Arial Narrow" w:hAnsi="Arial Narrow"/>
              </w:rPr>
              <w:t>Table 1. Proportions of negative, trivial, and positive responders in the population when the mean change and the standard deviation for individual responses (SD</w:t>
            </w:r>
            <w:r w:rsidRPr="008B0130">
              <w:rPr>
                <w:rFonts w:ascii="Arial Narrow" w:hAnsi="Arial Narrow"/>
                <w:vertAlign w:val="subscript"/>
              </w:rPr>
              <w:t>IR</w:t>
            </w:r>
            <w:r w:rsidRPr="008B0130">
              <w:rPr>
                <w:rFonts w:ascii="Arial Narrow" w:hAnsi="Arial Narrow"/>
              </w:rPr>
              <w:t xml:space="preserve">) are selected fractions and multiples of the smallest important mean change. Proportions in </w:t>
            </w:r>
            <w:r w:rsidRPr="00664CBF">
              <w:rPr>
                <w:rFonts w:ascii="Arial Narrow" w:hAnsi="Arial Narrow"/>
                <w:b/>
              </w:rPr>
              <w:t>bold</w:t>
            </w:r>
            <w:r w:rsidRPr="008B0130">
              <w:rPr>
                <w:rFonts w:ascii="Arial Narrow" w:hAnsi="Arial Narrow"/>
              </w:rPr>
              <w:t xml:space="preserve"> represent substantial (&gt;10%) differences from the proportion for the same mean change and SD</w:t>
            </w:r>
            <w:r w:rsidRPr="008B0130">
              <w:rPr>
                <w:rFonts w:ascii="Arial Narrow" w:hAnsi="Arial Narrow"/>
                <w:vertAlign w:val="subscript"/>
              </w:rPr>
              <w:t>IR</w:t>
            </w:r>
            <w:r w:rsidRPr="008B0130">
              <w:rPr>
                <w:rFonts w:ascii="Arial Narrow" w:hAnsi="Arial Narrow"/>
              </w:rPr>
              <w:t>=0.</w:t>
            </w:r>
          </w:p>
        </w:tc>
      </w:tr>
      <w:tr w:rsidR="00EA2CEB" w:rsidRPr="000711F2" w14:paraId="01734300" w14:textId="77777777" w:rsidTr="00610D72">
        <w:trPr>
          <w:trHeight w:val="258"/>
          <w:jc w:val="center"/>
        </w:trPr>
        <w:tc>
          <w:tcPr>
            <w:tcW w:w="1477" w:type="dxa"/>
            <w:vMerge w:val="restart"/>
            <w:tcBorders>
              <w:top w:val="single" w:sz="4" w:space="0" w:color="BFBFBF" w:themeColor="background1" w:themeShade="BF"/>
              <w:left w:val="single" w:sz="4" w:space="0" w:color="BFBFBF" w:themeColor="background1" w:themeShade="BF"/>
            </w:tcBorders>
            <w:shd w:val="clear" w:color="auto" w:fill="F2F2F2" w:themeFill="background1" w:themeFillShade="F2"/>
            <w:vAlign w:val="bottom"/>
          </w:tcPr>
          <w:p w14:paraId="5D9021EB" w14:textId="77777777" w:rsidR="00EA2CEB" w:rsidRPr="000711F2" w:rsidRDefault="00EA2CEB" w:rsidP="00610D72">
            <w:pPr>
              <w:ind w:firstLine="0"/>
              <w:jc w:val="center"/>
              <w:rPr>
                <w:rFonts w:ascii="Arial Narrow" w:hAnsi="Arial Narrow"/>
              </w:rPr>
            </w:pPr>
            <w:r w:rsidRPr="000711F2">
              <w:rPr>
                <w:rFonts w:ascii="Arial Narrow" w:hAnsi="Arial Narrow"/>
              </w:rPr>
              <w:t>Mean change</w:t>
            </w:r>
          </w:p>
        </w:tc>
        <w:tc>
          <w:tcPr>
            <w:tcW w:w="987" w:type="dxa"/>
            <w:vMerge w:val="restart"/>
            <w:tcBorders>
              <w:top w:val="single" w:sz="4" w:space="0" w:color="BFBFBF" w:themeColor="background1" w:themeShade="BF"/>
            </w:tcBorders>
            <w:shd w:val="clear" w:color="auto" w:fill="F2F2F2" w:themeFill="background1" w:themeFillShade="F2"/>
            <w:vAlign w:val="bottom"/>
          </w:tcPr>
          <w:p w14:paraId="7D722044" w14:textId="77777777" w:rsidR="00EA2CEB" w:rsidRPr="000711F2" w:rsidRDefault="00EA2CEB" w:rsidP="00610D72">
            <w:pPr>
              <w:ind w:firstLine="0"/>
              <w:jc w:val="center"/>
              <w:rPr>
                <w:rFonts w:ascii="Arial Narrow" w:hAnsi="Arial Narrow"/>
              </w:rPr>
            </w:pPr>
            <w:r w:rsidRPr="000711F2">
              <w:rPr>
                <w:rFonts w:ascii="Arial Narrow" w:hAnsi="Arial Narrow"/>
              </w:rPr>
              <w:t>SD</w:t>
            </w:r>
            <w:r w:rsidRPr="000711F2">
              <w:rPr>
                <w:rFonts w:ascii="Arial Narrow" w:hAnsi="Arial Narrow"/>
                <w:vertAlign w:val="subscript"/>
              </w:rPr>
              <w:t>IR</w:t>
            </w:r>
          </w:p>
        </w:tc>
        <w:tc>
          <w:tcPr>
            <w:tcW w:w="3278"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1E4CC020" w14:textId="77777777" w:rsidR="00EA2CEB" w:rsidRPr="000711F2" w:rsidRDefault="00EA2CEB" w:rsidP="00610D72">
            <w:pPr>
              <w:ind w:firstLine="0"/>
              <w:jc w:val="center"/>
              <w:rPr>
                <w:rFonts w:ascii="Arial Narrow" w:hAnsi="Arial Narrow"/>
              </w:rPr>
            </w:pPr>
            <w:r w:rsidRPr="000711F2">
              <w:rPr>
                <w:rFonts w:ascii="Arial Narrow" w:hAnsi="Arial Narrow"/>
              </w:rPr>
              <w:t>Proportions of responders (%)</w:t>
            </w:r>
          </w:p>
        </w:tc>
      </w:tr>
      <w:tr w:rsidR="00EA2CEB" w:rsidRPr="008B0130" w14:paraId="6CAE48D6" w14:textId="77777777" w:rsidTr="00610D72">
        <w:trPr>
          <w:trHeight w:val="144"/>
          <w:jc w:val="center"/>
        </w:trPr>
        <w:tc>
          <w:tcPr>
            <w:tcW w:w="1477" w:type="dxa"/>
            <w:vMerge/>
            <w:tcBorders>
              <w:left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3DDE1365" w14:textId="77777777" w:rsidR="00EA2CEB" w:rsidRPr="00061BF5" w:rsidRDefault="00EA2CEB" w:rsidP="00610D72">
            <w:pPr>
              <w:ind w:firstLine="0"/>
              <w:jc w:val="center"/>
              <w:rPr>
                <w:rFonts w:ascii="Arial Narrow" w:hAnsi="Arial Narrow"/>
              </w:rPr>
            </w:pPr>
          </w:p>
        </w:tc>
        <w:tc>
          <w:tcPr>
            <w:tcW w:w="987" w:type="dxa"/>
            <w:vMerge/>
            <w:tcBorders>
              <w:bottom w:val="single" w:sz="4" w:space="0" w:color="BFBFBF" w:themeColor="background1" w:themeShade="BF"/>
            </w:tcBorders>
            <w:shd w:val="clear" w:color="auto" w:fill="F2F2F2" w:themeFill="background1" w:themeFillShade="F2"/>
            <w:vAlign w:val="bottom"/>
          </w:tcPr>
          <w:p w14:paraId="0B9ACC9B" w14:textId="77777777" w:rsidR="00EA2CEB" w:rsidRPr="00061BF5" w:rsidRDefault="00EA2CEB" w:rsidP="00610D72">
            <w:pPr>
              <w:ind w:firstLine="0"/>
              <w:jc w:val="center"/>
              <w:rPr>
                <w:rFonts w:ascii="Arial Narrow" w:hAnsi="Arial Narrow"/>
              </w:rPr>
            </w:pPr>
          </w:p>
        </w:tc>
        <w:tc>
          <w:tcPr>
            <w:tcW w:w="1084" w:type="dxa"/>
            <w:tcBorders>
              <w:bottom w:val="single" w:sz="4" w:space="0" w:color="BFBFBF" w:themeColor="background1" w:themeShade="BF"/>
            </w:tcBorders>
            <w:shd w:val="clear" w:color="auto" w:fill="F2F2F2" w:themeFill="background1" w:themeFillShade="F2"/>
            <w:vAlign w:val="bottom"/>
          </w:tcPr>
          <w:p w14:paraId="4CA81D1E" w14:textId="77777777" w:rsidR="00EA2CEB" w:rsidRPr="00061BF5" w:rsidRDefault="00EA2CEB" w:rsidP="00610D72">
            <w:pPr>
              <w:ind w:firstLine="0"/>
              <w:jc w:val="center"/>
              <w:rPr>
                <w:rFonts w:ascii="Arial Narrow" w:hAnsi="Arial Narrow"/>
              </w:rPr>
            </w:pPr>
            <w:r w:rsidRPr="00061BF5">
              <w:rPr>
                <w:rFonts w:ascii="Arial Narrow" w:hAnsi="Arial Narrow"/>
              </w:rPr>
              <w:t>Negative</w:t>
            </w:r>
          </w:p>
        </w:tc>
        <w:tc>
          <w:tcPr>
            <w:tcW w:w="1039" w:type="dxa"/>
            <w:tcBorders>
              <w:bottom w:val="single" w:sz="4" w:space="0" w:color="BFBFBF" w:themeColor="background1" w:themeShade="BF"/>
            </w:tcBorders>
            <w:shd w:val="clear" w:color="auto" w:fill="F2F2F2" w:themeFill="background1" w:themeFillShade="F2"/>
            <w:vAlign w:val="bottom"/>
          </w:tcPr>
          <w:p w14:paraId="6871D453" w14:textId="77777777" w:rsidR="00EA2CEB" w:rsidRPr="00061BF5" w:rsidRDefault="00EA2CEB" w:rsidP="00610D72">
            <w:pPr>
              <w:ind w:firstLine="0"/>
              <w:jc w:val="center"/>
              <w:rPr>
                <w:rFonts w:ascii="Arial Narrow" w:hAnsi="Arial Narrow"/>
              </w:rPr>
            </w:pPr>
            <w:r w:rsidRPr="00061BF5">
              <w:rPr>
                <w:rFonts w:ascii="Arial Narrow" w:hAnsi="Arial Narrow"/>
              </w:rPr>
              <w:t>Trivial</w:t>
            </w:r>
          </w:p>
        </w:tc>
        <w:tc>
          <w:tcPr>
            <w:tcW w:w="1154" w:type="dxa"/>
            <w:tcBorders>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71EB587B" w14:textId="77777777" w:rsidR="00EA2CEB" w:rsidRPr="00061BF5" w:rsidRDefault="00EA2CEB" w:rsidP="00610D72">
            <w:pPr>
              <w:ind w:firstLine="0"/>
              <w:jc w:val="center"/>
              <w:rPr>
                <w:rFonts w:ascii="Arial Narrow" w:hAnsi="Arial Narrow"/>
              </w:rPr>
            </w:pPr>
            <w:r w:rsidRPr="00061BF5">
              <w:rPr>
                <w:rFonts w:ascii="Arial Narrow" w:hAnsi="Arial Narrow"/>
              </w:rPr>
              <w:t>Positive</w:t>
            </w:r>
          </w:p>
        </w:tc>
      </w:tr>
      <w:tr w:rsidR="00EA2CEB" w:rsidRPr="000711F2" w14:paraId="239B33DD" w14:textId="77777777" w:rsidTr="00610D72">
        <w:trPr>
          <w:trHeight w:val="258"/>
          <w:jc w:val="center"/>
        </w:trPr>
        <w:tc>
          <w:tcPr>
            <w:tcW w:w="1477" w:type="dxa"/>
            <w:tcBorders>
              <w:top w:val="single" w:sz="4" w:space="0" w:color="BFBFBF" w:themeColor="background1" w:themeShade="BF"/>
              <w:left w:val="single" w:sz="4" w:space="0" w:color="BFBFBF" w:themeColor="background1" w:themeShade="BF"/>
            </w:tcBorders>
            <w:vAlign w:val="bottom"/>
          </w:tcPr>
          <w:p w14:paraId="752D3825" w14:textId="77777777" w:rsidR="00EA2CEB" w:rsidRPr="000711F2" w:rsidRDefault="00EA2CEB" w:rsidP="00610D72">
            <w:pPr>
              <w:ind w:firstLine="0"/>
              <w:jc w:val="center"/>
              <w:rPr>
                <w:rFonts w:ascii="Arial Narrow" w:hAnsi="Arial Narrow"/>
              </w:rPr>
            </w:pPr>
            <w:r w:rsidRPr="000711F2">
              <w:rPr>
                <w:rFonts w:ascii="Arial Narrow" w:hAnsi="Arial Narrow"/>
              </w:rPr>
              <w:t>0.0</w:t>
            </w:r>
          </w:p>
        </w:tc>
        <w:tc>
          <w:tcPr>
            <w:tcW w:w="987" w:type="dxa"/>
            <w:tcBorders>
              <w:top w:val="single" w:sz="4" w:space="0" w:color="BFBFBF" w:themeColor="background1" w:themeShade="BF"/>
            </w:tcBorders>
            <w:vAlign w:val="bottom"/>
          </w:tcPr>
          <w:p w14:paraId="62CFCDC3" w14:textId="77777777" w:rsidR="00EA2CEB" w:rsidRPr="000711F2" w:rsidRDefault="00EA2CEB" w:rsidP="00610D72">
            <w:pPr>
              <w:ind w:firstLine="0"/>
              <w:jc w:val="center"/>
              <w:rPr>
                <w:rFonts w:ascii="Arial Narrow" w:hAnsi="Arial Narrow"/>
              </w:rPr>
            </w:pPr>
            <w:r w:rsidRPr="000711F2">
              <w:rPr>
                <w:rFonts w:ascii="Arial Narrow" w:hAnsi="Arial Narrow"/>
              </w:rPr>
              <w:t>0.0</w:t>
            </w:r>
          </w:p>
        </w:tc>
        <w:tc>
          <w:tcPr>
            <w:tcW w:w="1084" w:type="dxa"/>
            <w:tcBorders>
              <w:top w:val="single" w:sz="4" w:space="0" w:color="BFBFBF" w:themeColor="background1" w:themeShade="BF"/>
            </w:tcBorders>
            <w:vAlign w:val="bottom"/>
          </w:tcPr>
          <w:p w14:paraId="5915A873"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tcBorders>
              <w:top w:val="single" w:sz="4" w:space="0" w:color="BFBFBF" w:themeColor="background1" w:themeShade="BF"/>
            </w:tcBorders>
            <w:vAlign w:val="bottom"/>
          </w:tcPr>
          <w:p w14:paraId="2EEC3239" w14:textId="77777777" w:rsidR="00EA2CEB" w:rsidRPr="000711F2" w:rsidRDefault="00EA2CEB" w:rsidP="00610D72">
            <w:pPr>
              <w:ind w:firstLine="0"/>
              <w:jc w:val="center"/>
              <w:rPr>
                <w:rFonts w:ascii="Arial Narrow" w:hAnsi="Arial Narrow"/>
              </w:rPr>
            </w:pPr>
            <w:r w:rsidRPr="000711F2">
              <w:rPr>
                <w:rFonts w:ascii="Arial Narrow" w:hAnsi="Arial Narrow"/>
              </w:rPr>
              <w:t>100</w:t>
            </w:r>
          </w:p>
        </w:tc>
        <w:tc>
          <w:tcPr>
            <w:tcW w:w="1154" w:type="dxa"/>
            <w:tcBorders>
              <w:top w:val="single" w:sz="4" w:space="0" w:color="BFBFBF" w:themeColor="background1" w:themeShade="BF"/>
              <w:right w:val="single" w:sz="4" w:space="0" w:color="BFBFBF" w:themeColor="background1" w:themeShade="BF"/>
            </w:tcBorders>
            <w:vAlign w:val="bottom"/>
          </w:tcPr>
          <w:p w14:paraId="364F8482"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r>
      <w:tr w:rsidR="00EA2CEB" w:rsidRPr="000711F2" w14:paraId="433F8F32" w14:textId="77777777" w:rsidTr="00610D72">
        <w:trPr>
          <w:trHeight w:val="247"/>
          <w:jc w:val="center"/>
        </w:trPr>
        <w:tc>
          <w:tcPr>
            <w:tcW w:w="1477" w:type="dxa"/>
            <w:tcBorders>
              <w:left w:val="single" w:sz="4" w:space="0" w:color="BFBFBF" w:themeColor="background1" w:themeShade="BF"/>
            </w:tcBorders>
            <w:vAlign w:val="bottom"/>
          </w:tcPr>
          <w:p w14:paraId="14216773" w14:textId="77777777" w:rsidR="00EA2CEB" w:rsidRPr="000711F2" w:rsidRDefault="00EA2CEB" w:rsidP="00610D72">
            <w:pPr>
              <w:ind w:firstLine="0"/>
              <w:jc w:val="center"/>
              <w:rPr>
                <w:rFonts w:ascii="Arial Narrow" w:hAnsi="Arial Narrow"/>
              </w:rPr>
            </w:pPr>
            <w:r w:rsidRPr="000711F2">
              <w:rPr>
                <w:rFonts w:ascii="Arial Narrow" w:hAnsi="Arial Narrow"/>
              </w:rPr>
              <w:t>0.0</w:t>
            </w:r>
          </w:p>
        </w:tc>
        <w:tc>
          <w:tcPr>
            <w:tcW w:w="987" w:type="dxa"/>
            <w:vAlign w:val="bottom"/>
          </w:tcPr>
          <w:p w14:paraId="608A692A" w14:textId="77777777" w:rsidR="00EA2CEB" w:rsidRPr="000711F2" w:rsidRDefault="00EA2CEB" w:rsidP="00610D72">
            <w:pPr>
              <w:ind w:firstLine="0"/>
              <w:jc w:val="center"/>
              <w:rPr>
                <w:rFonts w:ascii="Arial Narrow" w:hAnsi="Arial Narrow"/>
              </w:rPr>
            </w:pPr>
            <w:r w:rsidRPr="000711F2">
              <w:rPr>
                <w:rFonts w:ascii="Arial Narrow" w:hAnsi="Arial Narrow"/>
              </w:rPr>
              <w:t>0.5</w:t>
            </w:r>
          </w:p>
        </w:tc>
        <w:tc>
          <w:tcPr>
            <w:tcW w:w="1084" w:type="dxa"/>
            <w:vAlign w:val="bottom"/>
          </w:tcPr>
          <w:p w14:paraId="38F1478D" w14:textId="77777777" w:rsidR="00EA2CEB" w:rsidRPr="000711F2" w:rsidRDefault="00EA2CEB" w:rsidP="00610D72">
            <w:pPr>
              <w:ind w:firstLine="0"/>
              <w:jc w:val="center"/>
              <w:rPr>
                <w:rFonts w:ascii="Arial Narrow" w:hAnsi="Arial Narrow"/>
              </w:rPr>
            </w:pPr>
            <w:r w:rsidRPr="000711F2">
              <w:rPr>
                <w:rFonts w:ascii="Arial Narrow" w:hAnsi="Arial Narrow"/>
              </w:rPr>
              <w:t>2</w:t>
            </w:r>
          </w:p>
        </w:tc>
        <w:tc>
          <w:tcPr>
            <w:tcW w:w="1039" w:type="dxa"/>
            <w:vAlign w:val="bottom"/>
          </w:tcPr>
          <w:p w14:paraId="1B52B727" w14:textId="77777777" w:rsidR="00EA2CEB" w:rsidRPr="000711F2" w:rsidRDefault="00EA2CEB" w:rsidP="00610D72">
            <w:pPr>
              <w:ind w:firstLine="0"/>
              <w:jc w:val="center"/>
              <w:rPr>
                <w:rFonts w:ascii="Arial Narrow" w:hAnsi="Arial Narrow"/>
              </w:rPr>
            </w:pPr>
            <w:r w:rsidRPr="000711F2">
              <w:rPr>
                <w:rFonts w:ascii="Arial Narrow" w:hAnsi="Arial Narrow"/>
              </w:rPr>
              <w:t>95</w:t>
            </w:r>
          </w:p>
        </w:tc>
        <w:tc>
          <w:tcPr>
            <w:tcW w:w="1154" w:type="dxa"/>
            <w:tcBorders>
              <w:right w:val="single" w:sz="4" w:space="0" w:color="BFBFBF" w:themeColor="background1" w:themeShade="BF"/>
            </w:tcBorders>
            <w:vAlign w:val="bottom"/>
          </w:tcPr>
          <w:p w14:paraId="4F491F38" w14:textId="77777777" w:rsidR="00EA2CEB" w:rsidRPr="000711F2" w:rsidRDefault="00EA2CEB" w:rsidP="00610D72">
            <w:pPr>
              <w:ind w:firstLine="0"/>
              <w:jc w:val="center"/>
              <w:rPr>
                <w:rFonts w:ascii="Arial Narrow" w:hAnsi="Arial Narrow"/>
              </w:rPr>
            </w:pPr>
            <w:r w:rsidRPr="000711F2">
              <w:rPr>
                <w:rFonts w:ascii="Arial Narrow" w:hAnsi="Arial Narrow"/>
              </w:rPr>
              <w:t>2</w:t>
            </w:r>
          </w:p>
        </w:tc>
      </w:tr>
      <w:tr w:rsidR="00EA2CEB" w:rsidRPr="000711F2" w14:paraId="4F9032B8" w14:textId="77777777" w:rsidTr="00610D72">
        <w:trPr>
          <w:trHeight w:val="258"/>
          <w:jc w:val="center"/>
        </w:trPr>
        <w:tc>
          <w:tcPr>
            <w:tcW w:w="1477" w:type="dxa"/>
            <w:tcBorders>
              <w:left w:val="single" w:sz="4" w:space="0" w:color="BFBFBF" w:themeColor="background1" w:themeShade="BF"/>
              <w:bottom w:val="single" w:sz="4" w:space="0" w:color="BFBFBF" w:themeColor="background1" w:themeShade="BF"/>
            </w:tcBorders>
            <w:vAlign w:val="bottom"/>
          </w:tcPr>
          <w:p w14:paraId="7865418F" w14:textId="77777777" w:rsidR="00EA2CEB" w:rsidRPr="000711F2" w:rsidRDefault="00EA2CEB" w:rsidP="00610D72">
            <w:pPr>
              <w:ind w:firstLine="0"/>
              <w:jc w:val="center"/>
              <w:rPr>
                <w:rFonts w:ascii="Arial Narrow" w:hAnsi="Arial Narrow"/>
              </w:rPr>
            </w:pPr>
            <w:r w:rsidRPr="000711F2">
              <w:rPr>
                <w:rFonts w:ascii="Arial Narrow" w:hAnsi="Arial Narrow"/>
              </w:rPr>
              <w:t>0.0</w:t>
            </w:r>
          </w:p>
        </w:tc>
        <w:tc>
          <w:tcPr>
            <w:tcW w:w="987" w:type="dxa"/>
            <w:tcBorders>
              <w:bottom w:val="single" w:sz="4" w:space="0" w:color="BFBFBF" w:themeColor="background1" w:themeShade="BF"/>
            </w:tcBorders>
            <w:vAlign w:val="bottom"/>
          </w:tcPr>
          <w:p w14:paraId="5F910754"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1084" w:type="dxa"/>
            <w:tcBorders>
              <w:bottom w:val="single" w:sz="4" w:space="0" w:color="BFBFBF" w:themeColor="background1" w:themeShade="BF"/>
            </w:tcBorders>
            <w:vAlign w:val="bottom"/>
          </w:tcPr>
          <w:p w14:paraId="59D30F6F" w14:textId="77777777" w:rsidR="00EA2CEB" w:rsidRPr="000711F2" w:rsidRDefault="00EA2CEB" w:rsidP="00610D72">
            <w:pPr>
              <w:ind w:firstLine="0"/>
              <w:jc w:val="center"/>
              <w:rPr>
                <w:rFonts w:ascii="Arial Narrow" w:hAnsi="Arial Narrow"/>
                <w:b/>
              </w:rPr>
            </w:pPr>
            <w:r w:rsidRPr="000711F2">
              <w:rPr>
                <w:rFonts w:ascii="Arial Narrow" w:hAnsi="Arial Narrow"/>
                <w:b/>
              </w:rPr>
              <w:t>16</w:t>
            </w:r>
          </w:p>
        </w:tc>
        <w:tc>
          <w:tcPr>
            <w:tcW w:w="1039" w:type="dxa"/>
            <w:tcBorders>
              <w:bottom w:val="single" w:sz="4" w:space="0" w:color="BFBFBF" w:themeColor="background1" w:themeShade="BF"/>
            </w:tcBorders>
            <w:vAlign w:val="bottom"/>
          </w:tcPr>
          <w:p w14:paraId="11040113" w14:textId="77777777" w:rsidR="00EA2CEB" w:rsidRPr="000711F2" w:rsidRDefault="00EA2CEB" w:rsidP="00610D72">
            <w:pPr>
              <w:ind w:firstLine="0"/>
              <w:jc w:val="center"/>
              <w:rPr>
                <w:rFonts w:ascii="Arial Narrow" w:hAnsi="Arial Narrow"/>
                <w:b/>
              </w:rPr>
            </w:pPr>
            <w:r w:rsidRPr="000711F2">
              <w:rPr>
                <w:rFonts w:ascii="Arial Narrow" w:hAnsi="Arial Narrow"/>
                <w:b/>
              </w:rPr>
              <w:t>68</w:t>
            </w:r>
          </w:p>
        </w:tc>
        <w:tc>
          <w:tcPr>
            <w:tcW w:w="1154" w:type="dxa"/>
            <w:tcBorders>
              <w:bottom w:val="single" w:sz="4" w:space="0" w:color="BFBFBF" w:themeColor="background1" w:themeShade="BF"/>
              <w:right w:val="single" w:sz="4" w:space="0" w:color="BFBFBF" w:themeColor="background1" w:themeShade="BF"/>
            </w:tcBorders>
            <w:vAlign w:val="bottom"/>
          </w:tcPr>
          <w:p w14:paraId="61A9F105" w14:textId="77777777" w:rsidR="00EA2CEB" w:rsidRPr="000711F2" w:rsidRDefault="00EA2CEB" w:rsidP="00610D72">
            <w:pPr>
              <w:ind w:firstLine="0"/>
              <w:jc w:val="center"/>
              <w:rPr>
                <w:rFonts w:ascii="Arial Narrow" w:hAnsi="Arial Narrow"/>
                <w:b/>
              </w:rPr>
            </w:pPr>
            <w:r w:rsidRPr="000711F2">
              <w:rPr>
                <w:rFonts w:ascii="Arial Narrow" w:hAnsi="Arial Narrow"/>
                <w:b/>
              </w:rPr>
              <w:t>16</w:t>
            </w:r>
          </w:p>
        </w:tc>
      </w:tr>
      <w:tr w:rsidR="00EA2CEB" w:rsidRPr="000711F2" w14:paraId="6DA42784" w14:textId="77777777" w:rsidTr="00610D72">
        <w:trPr>
          <w:trHeight w:val="247"/>
          <w:jc w:val="center"/>
        </w:trPr>
        <w:tc>
          <w:tcPr>
            <w:tcW w:w="1477" w:type="dxa"/>
            <w:tcBorders>
              <w:top w:val="single" w:sz="4" w:space="0" w:color="BFBFBF" w:themeColor="background1" w:themeShade="BF"/>
              <w:left w:val="single" w:sz="4" w:space="0" w:color="BFBFBF" w:themeColor="background1" w:themeShade="BF"/>
            </w:tcBorders>
            <w:vAlign w:val="bottom"/>
          </w:tcPr>
          <w:p w14:paraId="69F697E1" w14:textId="77777777" w:rsidR="00EA2CEB" w:rsidRPr="000711F2" w:rsidRDefault="00EA2CEB" w:rsidP="00610D72">
            <w:pPr>
              <w:ind w:firstLine="0"/>
              <w:jc w:val="center"/>
              <w:rPr>
                <w:rFonts w:ascii="Arial Narrow" w:hAnsi="Arial Narrow"/>
              </w:rPr>
            </w:pPr>
            <w:r w:rsidRPr="000711F2">
              <w:rPr>
                <w:rFonts w:ascii="Arial Narrow" w:hAnsi="Arial Narrow"/>
              </w:rPr>
              <w:t>0.5</w:t>
            </w:r>
          </w:p>
        </w:tc>
        <w:tc>
          <w:tcPr>
            <w:tcW w:w="987" w:type="dxa"/>
            <w:tcBorders>
              <w:top w:val="single" w:sz="4" w:space="0" w:color="BFBFBF" w:themeColor="background1" w:themeShade="BF"/>
            </w:tcBorders>
            <w:vAlign w:val="bottom"/>
          </w:tcPr>
          <w:p w14:paraId="342D872E" w14:textId="77777777" w:rsidR="00EA2CEB" w:rsidRPr="000711F2" w:rsidRDefault="00EA2CEB" w:rsidP="00610D72">
            <w:pPr>
              <w:ind w:firstLine="0"/>
              <w:jc w:val="center"/>
              <w:rPr>
                <w:rFonts w:ascii="Arial Narrow" w:hAnsi="Arial Narrow"/>
              </w:rPr>
            </w:pPr>
            <w:r w:rsidRPr="000711F2">
              <w:rPr>
                <w:rFonts w:ascii="Arial Narrow" w:hAnsi="Arial Narrow"/>
              </w:rPr>
              <w:t>0.0</w:t>
            </w:r>
          </w:p>
        </w:tc>
        <w:tc>
          <w:tcPr>
            <w:tcW w:w="1084" w:type="dxa"/>
            <w:tcBorders>
              <w:top w:val="single" w:sz="4" w:space="0" w:color="BFBFBF" w:themeColor="background1" w:themeShade="BF"/>
            </w:tcBorders>
            <w:vAlign w:val="bottom"/>
          </w:tcPr>
          <w:p w14:paraId="51A7AD87"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tcBorders>
              <w:top w:val="single" w:sz="4" w:space="0" w:color="BFBFBF" w:themeColor="background1" w:themeShade="BF"/>
            </w:tcBorders>
            <w:vAlign w:val="bottom"/>
          </w:tcPr>
          <w:p w14:paraId="28B8E844" w14:textId="77777777" w:rsidR="00EA2CEB" w:rsidRPr="000711F2" w:rsidRDefault="00EA2CEB" w:rsidP="00610D72">
            <w:pPr>
              <w:ind w:firstLine="0"/>
              <w:jc w:val="center"/>
              <w:rPr>
                <w:rFonts w:ascii="Arial Narrow" w:hAnsi="Arial Narrow"/>
              </w:rPr>
            </w:pPr>
            <w:r w:rsidRPr="000711F2">
              <w:rPr>
                <w:rFonts w:ascii="Arial Narrow" w:hAnsi="Arial Narrow"/>
              </w:rPr>
              <w:t>100</w:t>
            </w:r>
          </w:p>
        </w:tc>
        <w:tc>
          <w:tcPr>
            <w:tcW w:w="1154" w:type="dxa"/>
            <w:tcBorders>
              <w:top w:val="single" w:sz="4" w:space="0" w:color="BFBFBF" w:themeColor="background1" w:themeShade="BF"/>
              <w:right w:val="single" w:sz="4" w:space="0" w:color="BFBFBF" w:themeColor="background1" w:themeShade="BF"/>
            </w:tcBorders>
            <w:vAlign w:val="bottom"/>
          </w:tcPr>
          <w:p w14:paraId="58B33279"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r>
      <w:tr w:rsidR="00EA2CEB" w:rsidRPr="000711F2" w14:paraId="080A943E" w14:textId="77777777" w:rsidTr="00610D72">
        <w:trPr>
          <w:trHeight w:val="247"/>
          <w:jc w:val="center"/>
        </w:trPr>
        <w:tc>
          <w:tcPr>
            <w:tcW w:w="1477" w:type="dxa"/>
            <w:tcBorders>
              <w:left w:val="single" w:sz="4" w:space="0" w:color="BFBFBF" w:themeColor="background1" w:themeShade="BF"/>
            </w:tcBorders>
            <w:vAlign w:val="bottom"/>
          </w:tcPr>
          <w:p w14:paraId="4D8CF1CE" w14:textId="77777777" w:rsidR="00EA2CEB" w:rsidRPr="000711F2" w:rsidRDefault="00EA2CEB" w:rsidP="00610D72">
            <w:pPr>
              <w:ind w:firstLine="0"/>
              <w:jc w:val="center"/>
              <w:rPr>
                <w:rFonts w:ascii="Arial Narrow" w:hAnsi="Arial Narrow"/>
              </w:rPr>
            </w:pPr>
            <w:r w:rsidRPr="000711F2">
              <w:rPr>
                <w:rFonts w:ascii="Arial Narrow" w:hAnsi="Arial Narrow"/>
              </w:rPr>
              <w:t>0.5</w:t>
            </w:r>
          </w:p>
        </w:tc>
        <w:tc>
          <w:tcPr>
            <w:tcW w:w="987" w:type="dxa"/>
            <w:vAlign w:val="bottom"/>
          </w:tcPr>
          <w:p w14:paraId="3325599B" w14:textId="77777777" w:rsidR="00EA2CEB" w:rsidRPr="000711F2" w:rsidRDefault="00EA2CEB" w:rsidP="00610D72">
            <w:pPr>
              <w:ind w:firstLine="0"/>
              <w:jc w:val="center"/>
              <w:rPr>
                <w:rFonts w:ascii="Arial Narrow" w:hAnsi="Arial Narrow"/>
              </w:rPr>
            </w:pPr>
            <w:r w:rsidRPr="000711F2">
              <w:rPr>
                <w:rFonts w:ascii="Arial Narrow" w:hAnsi="Arial Narrow"/>
              </w:rPr>
              <w:t>0.5</w:t>
            </w:r>
          </w:p>
        </w:tc>
        <w:tc>
          <w:tcPr>
            <w:tcW w:w="1084" w:type="dxa"/>
            <w:vAlign w:val="bottom"/>
          </w:tcPr>
          <w:p w14:paraId="3AEB6D1F"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vAlign w:val="bottom"/>
          </w:tcPr>
          <w:p w14:paraId="74C6019F" w14:textId="77777777" w:rsidR="00EA2CEB" w:rsidRPr="000711F2" w:rsidRDefault="00EA2CEB" w:rsidP="00610D72">
            <w:pPr>
              <w:ind w:firstLine="0"/>
              <w:jc w:val="center"/>
              <w:rPr>
                <w:rFonts w:ascii="Arial Narrow" w:hAnsi="Arial Narrow"/>
                <w:b/>
              </w:rPr>
            </w:pPr>
            <w:r w:rsidRPr="000711F2">
              <w:rPr>
                <w:rFonts w:ascii="Arial Narrow" w:hAnsi="Arial Narrow"/>
                <w:b/>
              </w:rPr>
              <w:t>84</w:t>
            </w:r>
          </w:p>
        </w:tc>
        <w:tc>
          <w:tcPr>
            <w:tcW w:w="1154" w:type="dxa"/>
            <w:tcBorders>
              <w:right w:val="single" w:sz="4" w:space="0" w:color="BFBFBF" w:themeColor="background1" w:themeShade="BF"/>
            </w:tcBorders>
            <w:vAlign w:val="bottom"/>
          </w:tcPr>
          <w:p w14:paraId="6B3915EA" w14:textId="77777777" w:rsidR="00EA2CEB" w:rsidRPr="000711F2" w:rsidRDefault="00EA2CEB" w:rsidP="00610D72">
            <w:pPr>
              <w:ind w:firstLine="0"/>
              <w:jc w:val="center"/>
              <w:rPr>
                <w:rFonts w:ascii="Arial Narrow" w:hAnsi="Arial Narrow"/>
                <w:b/>
              </w:rPr>
            </w:pPr>
            <w:r w:rsidRPr="000711F2">
              <w:rPr>
                <w:rFonts w:ascii="Arial Narrow" w:hAnsi="Arial Narrow"/>
                <w:b/>
              </w:rPr>
              <w:t>16</w:t>
            </w:r>
          </w:p>
        </w:tc>
      </w:tr>
      <w:tr w:rsidR="00EA2CEB" w:rsidRPr="000711F2" w14:paraId="3BB254A5" w14:textId="77777777" w:rsidTr="00610D72">
        <w:trPr>
          <w:trHeight w:val="258"/>
          <w:jc w:val="center"/>
        </w:trPr>
        <w:tc>
          <w:tcPr>
            <w:tcW w:w="1477" w:type="dxa"/>
            <w:tcBorders>
              <w:left w:val="single" w:sz="4" w:space="0" w:color="BFBFBF" w:themeColor="background1" w:themeShade="BF"/>
              <w:bottom w:val="single" w:sz="4" w:space="0" w:color="BFBFBF" w:themeColor="background1" w:themeShade="BF"/>
            </w:tcBorders>
            <w:vAlign w:val="bottom"/>
          </w:tcPr>
          <w:p w14:paraId="18E5C719" w14:textId="77777777" w:rsidR="00EA2CEB" w:rsidRPr="000711F2" w:rsidRDefault="00EA2CEB" w:rsidP="00610D72">
            <w:pPr>
              <w:ind w:firstLine="0"/>
              <w:jc w:val="center"/>
              <w:rPr>
                <w:rFonts w:ascii="Arial Narrow" w:hAnsi="Arial Narrow"/>
              </w:rPr>
            </w:pPr>
            <w:r w:rsidRPr="000711F2">
              <w:rPr>
                <w:rFonts w:ascii="Arial Narrow" w:hAnsi="Arial Narrow"/>
              </w:rPr>
              <w:t>0.5</w:t>
            </w:r>
          </w:p>
        </w:tc>
        <w:tc>
          <w:tcPr>
            <w:tcW w:w="987" w:type="dxa"/>
            <w:tcBorders>
              <w:bottom w:val="single" w:sz="4" w:space="0" w:color="BFBFBF" w:themeColor="background1" w:themeShade="BF"/>
            </w:tcBorders>
            <w:vAlign w:val="bottom"/>
          </w:tcPr>
          <w:p w14:paraId="4213C2E1"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1084" w:type="dxa"/>
            <w:tcBorders>
              <w:bottom w:val="single" w:sz="4" w:space="0" w:color="BFBFBF" w:themeColor="background1" w:themeShade="BF"/>
            </w:tcBorders>
            <w:vAlign w:val="bottom"/>
          </w:tcPr>
          <w:p w14:paraId="0B27FF71" w14:textId="77777777" w:rsidR="00EA2CEB" w:rsidRPr="000711F2" w:rsidRDefault="00EA2CEB" w:rsidP="00610D72">
            <w:pPr>
              <w:ind w:firstLine="0"/>
              <w:jc w:val="center"/>
              <w:rPr>
                <w:rFonts w:ascii="Arial Narrow" w:hAnsi="Arial Narrow"/>
              </w:rPr>
            </w:pPr>
            <w:r w:rsidRPr="000711F2">
              <w:rPr>
                <w:rFonts w:ascii="Arial Narrow" w:hAnsi="Arial Narrow"/>
              </w:rPr>
              <w:t>7</w:t>
            </w:r>
          </w:p>
        </w:tc>
        <w:tc>
          <w:tcPr>
            <w:tcW w:w="1039" w:type="dxa"/>
            <w:tcBorders>
              <w:bottom w:val="single" w:sz="4" w:space="0" w:color="BFBFBF" w:themeColor="background1" w:themeShade="BF"/>
            </w:tcBorders>
            <w:vAlign w:val="bottom"/>
          </w:tcPr>
          <w:p w14:paraId="187F5364" w14:textId="77777777" w:rsidR="00EA2CEB" w:rsidRPr="000711F2" w:rsidRDefault="00EA2CEB" w:rsidP="00610D72">
            <w:pPr>
              <w:ind w:firstLine="0"/>
              <w:jc w:val="center"/>
              <w:rPr>
                <w:rFonts w:ascii="Arial Narrow" w:hAnsi="Arial Narrow"/>
                <w:b/>
              </w:rPr>
            </w:pPr>
            <w:r w:rsidRPr="000711F2">
              <w:rPr>
                <w:rFonts w:ascii="Arial Narrow" w:hAnsi="Arial Narrow"/>
                <w:b/>
              </w:rPr>
              <w:t>63</w:t>
            </w:r>
          </w:p>
        </w:tc>
        <w:tc>
          <w:tcPr>
            <w:tcW w:w="1154" w:type="dxa"/>
            <w:tcBorders>
              <w:bottom w:val="single" w:sz="4" w:space="0" w:color="BFBFBF" w:themeColor="background1" w:themeShade="BF"/>
              <w:right w:val="single" w:sz="4" w:space="0" w:color="BFBFBF" w:themeColor="background1" w:themeShade="BF"/>
            </w:tcBorders>
            <w:vAlign w:val="bottom"/>
          </w:tcPr>
          <w:p w14:paraId="67AEE5CA" w14:textId="77777777" w:rsidR="00EA2CEB" w:rsidRPr="000711F2" w:rsidRDefault="00EA2CEB" w:rsidP="00610D72">
            <w:pPr>
              <w:ind w:firstLine="0"/>
              <w:jc w:val="center"/>
              <w:rPr>
                <w:rFonts w:ascii="Arial Narrow" w:hAnsi="Arial Narrow"/>
                <w:b/>
              </w:rPr>
            </w:pPr>
            <w:r w:rsidRPr="000711F2">
              <w:rPr>
                <w:rFonts w:ascii="Arial Narrow" w:hAnsi="Arial Narrow"/>
                <w:b/>
              </w:rPr>
              <w:t>31</w:t>
            </w:r>
          </w:p>
        </w:tc>
      </w:tr>
      <w:tr w:rsidR="00EA2CEB" w:rsidRPr="000711F2" w14:paraId="58D076EC" w14:textId="77777777" w:rsidTr="00610D72">
        <w:trPr>
          <w:trHeight w:val="247"/>
          <w:jc w:val="center"/>
        </w:trPr>
        <w:tc>
          <w:tcPr>
            <w:tcW w:w="1477" w:type="dxa"/>
            <w:tcBorders>
              <w:top w:val="single" w:sz="4" w:space="0" w:color="BFBFBF" w:themeColor="background1" w:themeShade="BF"/>
              <w:left w:val="single" w:sz="4" w:space="0" w:color="BFBFBF" w:themeColor="background1" w:themeShade="BF"/>
            </w:tcBorders>
            <w:vAlign w:val="bottom"/>
          </w:tcPr>
          <w:p w14:paraId="436604C0"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987" w:type="dxa"/>
            <w:tcBorders>
              <w:top w:val="single" w:sz="4" w:space="0" w:color="BFBFBF" w:themeColor="background1" w:themeShade="BF"/>
            </w:tcBorders>
            <w:vAlign w:val="bottom"/>
          </w:tcPr>
          <w:p w14:paraId="3BD1062D" w14:textId="77777777" w:rsidR="00EA2CEB" w:rsidRPr="000711F2" w:rsidRDefault="00EA2CEB" w:rsidP="00610D72">
            <w:pPr>
              <w:ind w:firstLine="0"/>
              <w:jc w:val="center"/>
              <w:rPr>
                <w:rFonts w:ascii="Arial Narrow" w:hAnsi="Arial Narrow"/>
              </w:rPr>
            </w:pPr>
            <w:r w:rsidRPr="000711F2">
              <w:rPr>
                <w:rFonts w:ascii="Arial Narrow" w:hAnsi="Arial Narrow"/>
              </w:rPr>
              <w:t>0.0</w:t>
            </w:r>
          </w:p>
        </w:tc>
        <w:tc>
          <w:tcPr>
            <w:tcW w:w="1084" w:type="dxa"/>
            <w:tcBorders>
              <w:top w:val="single" w:sz="4" w:space="0" w:color="BFBFBF" w:themeColor="background1" w:themeShade="BF"/>
            </w:tcBorders>
            <w:vAlign w:val="bottom"/>
          </w:tcPr>
          <w:p w14:paraId="5CE6D0AD"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tcBorders>
              <w:top w:val="single" w:sz="4" w:space="0" w:color="BFBFBF" w:themeColor="background1" w:themeShade="BF"/>
            </w:tcBorders>
            <w:vAlign w:val="bottom"/>
          </w:tcPr>
          <w:p w14:paraId="1DE05F02" w14:textId="77777777" w:rsidR="00EA2CEB" w:rsidRPr="000711F2" w:rsidRDefault="00EA2CEB" w:rsidP="00610D72">
            <w:pPr>
              <w:ind w:firstLine="0"/>
              <w:jc w:val="center"/>
              <w:rPr>
                <w:rFonts w:ascii="Arial Narrow" w:hAnsi="Arial Narrow"/>
              </w:rPr>
            </w:pPr>
            <w:r w:rsidRPr="000711F2">
              <w:rPr>
                <w:rFonts w:ascii="Arial Narrow" w:hAnsi="Arial Narrow"/>
              </w:rPr>
              <w:t>50</w:t>
            </w:r>
          </w:p>
        </w:tc>
        <w:tc>
          <w:tcPr>
            <w:tcW w:w="1154" w:type="dxa"/>
            <w:tcBorders>
              <w:top w:val="single" w:sz="4" w:space="0" w:color="BFBFBF" w:themeColor="background1" w:themeShade="BF"/>
              <w:right w:val="single" w:sz="4" w:space="0" w:color="BFBFBF" w:themeColor="background1" w:themeShade="BF"/>
            </w:tcBorders>
            <w:vAlign w:val="bottom"/>
          </w:tcPr>
          <w:p w14:paraId="43A98141" w14:textId="77777777" w:rsidR="00EA2CEB" w:rsidRPr="000711F2" w:rsidRDefault="00EA2CEB" w:rsidP="00610D72">
            <w:pPr>
              <w:ind w:firstLine="0"/>
              <w:jc w:val="center"/>
              <w:rPr>
                <w:rFonts w:ascii="Arial Narrow" w:hAnsi="Arial Narrow"/>
              </w:rPr>
            </w:pPr>
            <w:r w:rsidRPr="000711F2">
              <w:rPr>
                <w:rFonts w:ascii="Arial Narrow" w:hAnsi="Arial Narrow"/>
              </w:rPr>
              <w:t>50</w:t>
            </w:r>
          </w:p>
        </w:tc>
      </w:tr>
      <w:tr w:rsidR="00EA2CEB" w:rsidRPr="000711F2" w14:paraId="04BD6CAD" w14:textId="77777777" w:rsidTr="00610D72">
        <w:trPr>
          <w:trHeight w:val="258"/>
          <w:jc w:val="center"/>
        </w:trPr>
        <w:tc>
          <w:tcPr>
            <w:tcW w:w="1477" w:type="dxa"/>
            <w:tcBorders>
              <w:left w:val="single" w:sz="4" w:space="0" w:color="BFBFBF" w:themeColor="background1" w:themeShade="BF"/>
            </w:tcBorders>
            <w:vAlign w:val="bottom"/>
          </w:tcPr>
          <w:p w14:paraId="506F338B"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987" w:type="dxa"/>
            <w:vAlign w:val="bottom"/>
          </w:tcPr>
          <w:p w14:paraId="55194658" w14:textId="77777777" w:rsidR="00EA2CEB" w:rsidRPr="000711F2" w:rsidRDefault="00EA2CEB" w:rsidP="00610D72">
            <w:pPr>
              <w:ind w:firstLine="0"/>
              <w:jc w:val="center"/>
              <w:rPr>
                <w:rFonts w:ascii="Arial Narrow" w:hAnsi="Arial Narrow"/>
              </w:rPr>
            </w:pPr>
            <w:r w:rsidRPr="000711F2">
              <w:rPr>
                <w:rFonts w:ascii="Arial Narrow" w:hAnsi="Arial Narrow"/>
              </w:rPr>
              <w:t>0.5</w:t>
            </w:r>
          </w:p>
        </w:tc>
        <w:tc>
          <w:tcPr>
            <w:tcW w:w="1084" w:type="dxa"/>
            <w:vAlign w:val="bottom"/>
          </w:tcPr>
          <w:p w14:paraId="45AC788F"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vAlign w:val="bottom"/>
          </w:tcPr>
          <w:p w14:paraId="0499D095" w14:textId="77777777" w:rsidR="00EA2CEB" w:rsidRPr="000711F2" w:rsidRDefault="00EA2CEB" w:rsidP="00610D72">
            <w:pPr>
              <w:ind w:firstLine="0"/>
              <w:jc w:val="center"/>
              <w:rPr>
                <w:rFonts w:ascii="Arial Narrow" w:hAnsi="Arial Narrow"/>
              </w:rPr>
            </w:pPr>
            <w:r w:rsidRPr="000711F2">
              <w:rPr>
                <w:rFonts w:ascii="Arial Narrow" w:hAnsi="Arial Narrow"/>
              </w:rPr>
              <w:t>50</w:t>
            </w:r>
          </w:p>
        </w:tc>
        <w:tc>
          <w:tcPr>
            <w:tcW w:w="1154" w:type="dxa"/>
            <w:tcBorders>
              <w:right w:val="single" w:sz="4" w:space="0" w:color="BFBFBF" w:themeColor="background1" w:themeShade="BF"/>
            </w:tcBorders>
            <w:vAlign w:val="bottom"/>
          </w:tcPr>
          <w:p w14:paraId="1BE3944F" w14:textId="77777777" w:rsidR="00EA2CEB" w:rsidRPr="000711F2" w:rsidRDefault="00EA2CEB" w:rsidP="00610D72">
            <w:pPr>
              <w:ind w:firstLine="0"/>
              <w:jc w:val="center"/>
              <w:rPr>
                <w:rFonts w:ascii="Arial Narrow" w:hAnsi="Arial Narrow"/>
              </w:rPr>
            </w:pPr>
            <w:r w:rsidRPr="000711F2">
              <w:rPr>
                <w:rFonts w:ascii="Arial Narrow" w:hAnsi="Arial Narrow"/>
              </w:rPr>
              <w:t>50</w:t>
            </w:r>
          </w:p>
        </w:tc>
      </w:tr>
      <w:tr w:rsidR="00EA2CEB" w:rsidRPr="000711F2" w14:paraId="1932B982" w14:textId="77777777" w:rsidTr="00610D72">
        <w:trPr>
          <w:trHeight w:val="247"/>
          <w:jc w:val="center"/>
        </w:trPr>
        <w:tc>
          <w:tcPr>
            <w:tcW w:w="1477" w:type="dxa"/>
            <w:tcBorders>
              <w:left w:val="single" w:sz="4" w:space="0" w:color="BFBFBF" w:themeColor="background1" w:themeShade="BF"/>
            </w:tcBorders>
            <w:vAlign w:val="bottom"/>
          </w:tcPr>
          <w:p w14:paraId="71FED162"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987" w:type="dxa"/>
            <w:vAlign w:val="bottom"/>
          </w:tcPr>
          <w:p w14:paraId="57B380B4"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1084" w:type="dxa"/>
            <w:vAlign w:val="bottom"/>
          </w:tcPr>
          <w:p w14:paraId="1C5D6D02" w14:textId="77777777" w:rsidR="00EA2CEB" w:rsidRPr="000711F2" w:rsidRDefault="00EA2CEB" w:rsidP="00610D72">
            <w:pPr>
              <w:ind w:firstLine="0"/>
              <w:jc w:val="center"/>
              <w:rPr>
                <w:rFonts w:ascii="Arial Narrow" w:hAnsi="Arial Narrow"/>
              </w:rPr>
            </w:pPr>
            <w:r w:rsidRPr="000711F2">
              <w:rPr>
                <w:rFonts w:ascii="Arial Narrow" w:hAnsi="Arial Narrow"/>
              </w:rPr>
              <w:t>2</w:t>
            </w:r>
          </w:p>
        </w:tc>
        <w:tc>
          <w:tcPr>
            <w:tcW w:w="1039" w:type="dxa"/>
            <w:vAlign w:val="bottom"/>
          </w:tcPr>
          <w:p w14:paraId="472BA39E" w14:textId="77777777" w:rsidR="00EA2CEB" w:rsidRPr="000711F2" w:rsidRDefault="00EA2CEB" w:rsidP="00610D72">
            <w:pPr>
              <w:ind w:firstLine="0"/>
              <w:jc w:val="center"/>
              <w:rPr>
                <w:rFonts w:ascii="Arial Narrow" w:hAnsi="Arial Narrow"/>
              </w:rPr>
            </w:pPr>
            <w:r w:rsidRPr="000711F2">
              <w:rPr>
                <w:rFonts w:ascii="Arial Narrow" w:hAnsi="Arial Narrow"/>
              </w:rPr>
              <w:t>48</w:t>
            </w:r>
          </w:p>
        </w:tc>
        <w:tc>
          <w:tcPr>
            <w:tcW w:w="1154" w:type="dxa"/>
            <w:tcBorders>
              <w:right w:val="single" w:sz="4" w:space="0" w:color="BFBFBF" w:themeColor="background1" w:themeShade="BF"/>
            </w:tcBorders>
            <w:vAlign w:val="bottom"/>
          </w:tcPr>
          <w:p w14:paraId="7030BF95" w14:textId="77777777" w:rsidR="00EA2CEB" w:rsidRPr="000711F2" w:rsidRDefault="00EA2CEB" w:rsidP="00610D72">
            <w:pPr>
              <w:ind w:firstLine="0"/>
              <w:jc w:val="center"/>
              <w:rPr>
                <w:rFonts w:ascii="Arial Narrow" w:hAnsi="Arial Narrow"/>
              </w:rPr>
            </w:pPr>
            <w:r w:rsidRPr="000711F2">
              <w:rPr>
                <w:rFonts w:ascii="Arial Narrow" w:hAnsi="Arial Narrow"/>
              </w:rPr>
              <w:t>50</w:t>
            </w:r>
          </w:p>
        </w:tc>
      </w:tr>
      <w:tr w:rsidR="00EA2CEB" w:rsidRPr="000711F2" w14:paraId="31852DEB" w14:textId="77777777" w:rsidTr="00610D72">
        <w:trPr>
          <w:trHeight w:val="258"/>
          <w:jc w:val="center"/>
        </w:trPr>
        <w:tc>
          <w:tcPr>
            <w:tcW w:w="1477" w:type="dxa"/>
            <w:tcBorders>
              <w:left w:val="single" w:sz="4" w:space="0" w:color="BFBFBF" w:themeColor="background1" w:themeShade="BF"/>
            </w:tcBorders>
            <w:vAlign w:val="bottom"/>
          </w:tcPr>
          <w:p w14:paraId="4A0365CD"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987" w:type="dxa"/>
            <w:vAlign w:val="bottom"/>
          </w:tcPr>
          <w:p w14:paraId="7F653E70" w14:textId="77777777" w:rsidR="00EA2CEB" w:rsidRPr="000711F2" w:rsidRDefault="00EA2CEB" w:rsidP="00610D72">
            <w:pPr>
              <w:ind w:firstLine="0"/>
              <w:jc w:val="center"/>
              <w:rPr>
                <w:rFonts w:ascii="Arial Narrow" w:hAnsi="Arial Narrow"/>
              </w:rPr>
            </w:pPr>
            <w:r w:rsidRPr="000711F2">
              <w:rPr>
                <w:rFonts w:ascii="Arial Narrow" w:hAnsi="Arial Narrow"/>
              </w:rPr>
              <w:t>1.5</w:t>
            </w:r>
          </w:p>
        </w:tc>
        <w:tc>
          <w:tcPr>
            <w:tcW w:w="1084" w:type="dxa"/>
            <w:vAlign w:val="bottom"/>
          </w:tcPr>
          <w:p w14:paraId="6A194E23" w14:textId="77777777" w:rsidR="00EA2CEB" w:rsidRPr="000711F2" w:rsidRDefault="00EA2CEB" w:rsidP="00610D72">
            <w:pPr>
              <w:ind w:firstLine="0"/>
              <w:jc w:val="center"/>
              <w:rPr>
                <w:rFonts w:ascii="Arial Narrow" w:hAnsi="Arial Narrow"/>
              </w:rPr>
            </w:pPr>
            <w:r w:rsidRPr="000711F2">
              <w:rPr>
                <w:rFonts w:ascii="Arial Narrow" w:hAnsi="Arial Narrow"/>
              </w:rPr>
              <w:t>9</w:t>
            </w:r>
          </w:p>
        </w:tc>
        <w:tc>
          <w:tcPr>
            <w:tcW w:w="1039" w:type="dxa"/>
            <w:vAlign w:val="bottom"/>
          </w:tcPr>
          <w:p w14:paraId="67D793DE" w14:textId="77777777" w:rsidR="00EA2CEB" w:rsidRPr="000711F2" w:rsidRDefault="00EA2CEB" w:rsidP="00610D72">
            <w:pPr>
              <w:ind w:firstLine="0"/>
              <w:jc w:val="center"/>
              <w:rPr>
                <w:rFonts w:ascii="Arial Narrow" w:hAnsi="Arial Narrow"/>
              </w:rPr>
            </w:pPr>
            <w:r w:rsidRPr="000711F2">
              <w:rPr>
                <w:rFonts w:ascii="Arial Narrow" w:hAnsi="Arial Narrow"/>
              </w:rPr>
              <w:t>41</w:t>
            </w:r>
          </w:p>
        </w:tc>
        <w:tc>
          <w:tcPr>
            <w:tcW w:w="1154" w:type="dxa"/>
            <w:tcBorders>
              <w:right w:val="single" w:sz="4" w:space="0" w:color="BFBFBF" w:themeColor="background1" w:themeShade="BF"/>
            </w:tcBorders>
            <w:vAlign w:val="bottom"/>
          </w:tcPr>
          <w:p w14:paraId="54508EDA" w14:textId="77777777" w:rsidR="00EA2CEB" w:rsidRPr="000711F2" w:rsidRDefault="00EA2CEB" w:rsidP="00610D72">
            <w:pPr>
              <w:ind w:firstLine="0"/>
              <w:jc w:val="center"/>
              <w:rPr>
                <w:rFonts w:ascii="Arial Narrow" w:hAnsi="Arial Narrow"/>
              </w:rPr>
            </w:pPr>
            <w:r w:rsidRPr="000711F2">
              <w:rPr>
                <w:rFonts w:ascii="Arial Narrow" w:hAnsi="Arial Narrow"/>
              </w:rPr>
              <w:t>50</w:t>
            </w:r>
          </w:p>
        </w:tc>
      </w:tr>
      <w:tr w:rsidR="00EA2CEB" w:rsidRPr="000711F2" w14:paraId="07E4230D" w14:textId="77777777" w:rsidTr="00610D72">
        <w:trPr>
          <w:trHeight w:val="247"/>
          <w:jc w:val="center"/>
        </w:trPr>
        <w:tc>
          <w:tcPr>
            <w:tcW w:w="1477" w:type="dxa"/>
            <w:tcBorders>
              <w:left w:val="single" w:sz="4" w:space="0" w:color="BFBFBF" w:themeColor="background1" w:themeShade="BF"/>
              <w:bottom w:val="single" w:sz="4" w:space="0" w:color="BFBFBF" w:themeColor="background1" w:themeShade="BF"/>
            </w:tcBorders>
            <w:vAlign w:val="bottom"/>
          </w:tcPr>
          <w:p w14:paraId="5D3F595A"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987" w:type="dxa"/>
            <w:tcBorders>
              <w:bottom w:val="single" w:sz="4" w:space="0" w:color="BFBFBF" w:themeColor="background1" w:themeShade="BF"/>
            </w:tcBorders>
            <w:vAlign w:val="bottom"/>
          </w:tcPr>
          <w:p w14:paraId="6253A863" w14:textId="77777777" w:rsidR="00EA2CEB" w:rsidRPr="000711F2" w:rsidRDefault="00EA2CEB" w:rsidP="00610D72">
            <w:pPr>
              <w:ind w:firstLine="0"/>
              <w:jc w:val="center"/>
              <w:rPr>
                <w:rFonts w:ascii="Arial Narrow" w:hAnsi="Arial Narrow"/>
              </w:rPr>
            </w:pPr>
            <w:r w:rsidRPr="000711F2">
              <w:rPr>
                <w:rFonts w:ascii="Arial Narrow" w:hAnsi="Arial Narrow"/>
              </w:rPr>
              <w:t>2.0</w:t>
            </w:r>
          </w:p>
        </w:tc>
        <w:tc>
          <w:tcPr>
            <w:tcW w:w="1084" w:type="dxa"/>
            <w:tcBorders>
              <w:bottom w:val="single" w:sz="4" w:space="0" w:color="BFBFBF" w:themeColor="background1" w:themeShade="BF"/>
            </w:tcBorders>
            <w:vAlign w:val="bottom"/>
          </w:tcPr>
          <w:p w14:paraId="3E6FBDE0" w14:textId="77777777" w:rsidR="00EA2CEB" w:rsidRPr="000711F2" w:rsidRDefault="00EA2CEB" w:rsidP="00610D72">
            <w:pPr>
              <w:ind w:firstLine="0"/>
              <w:jc w:val="center"/>
              <w:rPr>
                <w:rFonts w:ascii="Arial Narrow" w:hAnsi="Arial Narrow"/>
                <w:b/>
              </w:rPr>
            </w:pPr>
            <w:r w:rsidRPr="000711F2">
              <w:rPr>
                <w:rFonts w:ascii="Arial Narrow" w:hAnsi="Arial Narrow"/>
                <w:b/>
              </w:rPr>
              <w:t>16</w:t>
            </w:r>
          </w:p>
        </w:tc>
        <w:tc>
          <w:tcPr>
            <w:tcW w:w="1039" w:type="dxa"/>
            <w:tcBorders>
              <w:bottom w:val="single" w:sz="4" w:space="0" w:color="BFBFBF" w:themeColor="background1" w:themeShade="BF"/>
            </w:tcBorders>
            <w:vAlign w:val="bottom"/>
          </w:tcPr>
          <w:p w14:paraId="5FD40108" w14:textId="77777777" w:rsidR="00EA2CEB" w:rsidRPr="000711F2" w:rsidRDefault="00EA2CEB" w:rsidP="00610D72">
            <w:pPr>
              <w:ind w:firstLine="0"/>
              <w:jc w:val="center"/>
              <w:rPr>
                <w:rFonts w:ascii="Arial Narrow" w:hAnsi="Arial Narrow"/>
                <w:b/>
              </w:rPr>
            </w:pPr>
            <w:r w:rsidRPr="000711F2">
              <w:rPr>
                <w:rFonts w:ascii="Arial Narrow" w:hAnsi="Arial Narrow"/>
                <w:b/>
              </w:rPr>
              <w:t>34</w:t>
            </w:r>
          </w:p>
        </w:tc>
        <w:tc>
          <w:tcPr>
            <w:tcW w:w="1154" w:type="dxa"/>
            <w:tcBorders>
              <w:bottom w:val="single" w:sz="4" w:space="0" w:color="BFBFBF" w:themeColor="background1" w:themeShade="BF"/>
              <w:right w:val="single" w:sz="4" w:space="0" w:color="BFBFBF" w:themeColor="background1" w:themeShade="BF"/>
            </w:tcBorders>
            <w:vAlign w:val="bottom"/>
          </w:tcPr>
          <w:p w14:paraId="633874C2" w14:textId="77777777" w:rsidR="00EA2CEB" w:rsidRPr="000711F2" w:rsidRDefault="00EA2CEB" w:rsidP="00610D72">
            <w:pPr>
              <w:ind w:firstLine="0"/>
              <w:jc w:val="center"/>
              <w:rPr>
                <w:rFonts w:ascii="Arial Narrow" w:hAnsi="Arial Narrow"/>
              </w:rPr>
            </w:pPr>
            <w:r w:rsidRPr="000711F2">
              <w:rPr>
                <w:rFonts w:ascii="Arial Narrow" w:hAnsi="Arial Narrow"/>
              </w:rPr>
              <w:t>50</w:t>
            </w:r>
          </w:p>
        </w:tc>
      </w:tr>
      <w:tr w:rsidR="00EA2CEB" w:rsidRPr="000711F2" w14:paraId="76B316C4" w14:textId="77777777" w:rsidTr="00610D72">
        <w:trPr>
          <w:trHeight w:val="258"/>
          <w:jc w:val="center"/>
        </w:trPr>
        <w:tc>
          <w:tcPr>
            <w:tcW w:w="1477" w:type="dxa"/>
            <w:tcBorders>
              <w:top w:val="single" w:sz="4" w:space="0" w:color="BFBFBF" w:themeColor="background1" w:themeShade="BF"/>
              <w:left w:val="single" w:sz="4" w:space="0" w:color="BFBFBF" w:themeColor="background1" w:themeShade="BF"/>
            </w:tcBorders>
            <w:vAlign w:val="bottom"/>
          </w:tcPr>
          <w:p w14:paraId="562164C4" w14:textId="77777777" w:rsidR="00EA2CEB" w:rsidRPr="000711F2" w:rsidRDefault="00EA2CEB" w:rsidP="00610D72">
            <w:pPr>
              <w:ind w:firstLine="0"/>
              <w:jc w:val="center"/>
              <w:rPr>
                <w:rFonts w:ascii="Arial Narrow" w:hAnsi="Arial Narrow"/>
              </w:rPr>
            </w:pPr>
            <w:r w:rsidRPr="000711F2">
              <w:rPr>
                <w:rFonts w:ascii="Arial Narrow" w:hAnsi="Arial Narrow"/>
              </w:rPr>
              <w:t>2.0</w:t>
            </w:r>
          </w:p>
        </w:tc>
        <w:tc>
          <w:tcPr>
            <w:tcW w:w="987" w:type="dxa"/>
            <w:tcBorders>
              <w:top w:val="single" w:sz="4" w:space="0" w:color="BFBFBF" w:themeColor="background1" w:themeShade="BF"/>
            </w:tcBorders>
            <w:vAlign w:val="bottom"/>
          </w:tcPr>
          <w:p w14:paraId="5A239223" w14:textId="77777777" w:rsidR="00EA2CEB" w:rsidRPr="000711F2" w:rsidRDefault="00EA2CEB" w:rsidP="00610D72">
            <w:pPr>
              <w:ind w:firstLine="0"/>
              <w:jc w:val="center"/>
              <w:rPr>
                <w:rFonts w:ascii="Arial Narrow" w:hAnsi="Arial Narrow"/>
              </w:rPr>
            </w:pPr>
            <w:r w:rsidRPr="000711F2">
              <w:rPr>
                <w:rFonts w:ascii="Arial Narrow" w:hAnsi="Arial Narrow"/>
              </w:rPr>
              <w:t>0.0</w:t>
            </w:r>
          </w:p>
        </w:tc>
        <w:tc>
          <w:tcPr>
            <w:tcW w:w="1084" w:type="dxa"/>
            <w:tcBorders>
              <w:top w:val="single" w:sz="4" w:space="0" w:color="BFBFBF" w:themeColor="background1" w:themeShade="BF"/>
            </w:tcBorders>
            <w:vAlign w:val="bottom"/>
          </w:tcPr>
          <w:p w14:paraId="21AA27E0"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tcBorders>
              <w:top w:val="single" w:sz="4" w:space="0" w:color="BFBFBF" w:themeColor="background1" w:themeShade="BF"/>
            </w:tcBorders>
            <w:vAlign w:val="bottom"/>
          </w:tcPr>
          <w:p w14:paraId="17C88A14"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154" w:type="dxa"/>
            <w:tcBorders>
              <w:top w:val="single" w:sz="4" w:space="0" w:color="BFBFBF" w:themeColor="background1" w:themeShade="BF"/>
              <w:right w:val="single" w:sz="4" w:space="0" w:color="BFBFBF" w:themeColor="background1" w:themeShade="BF"/>
            </w:tcBorders>
            <w:vAlign w:val="bottom"/>
          </w:tcPr>
          <w:p w14:paraId="0365E29B" w14:textId="77777777" w:rsidR="00EA2CEB" w:rsidRPr="000711F2" w:rsidRDefault="00EA2CEB" w:rsidP="00610D72">
            <w:pPr>
              <w:ind w:firstLine="0"/>
              <w:jc w:val="center"/>
              <w:rPr>
                <w:rFonts w:ascii="Arial Narrow" w:hAnsi="Arial Narrow"/>
              </w:rPr>
            </w:pPr>
            <w:r w:rsidRPr="000711F2">
              <w:rPr>
                <w:rFonts w:ascii="Arial Narrow" w:hAnsi="Arial Narrow"/>
              </w:rPr>
              <w:t>100</w:t>
            </w:r>
          </w:p>
        </w:tc>
      </w:tr>
      <w:tr w:rsidR="00EA2CEB" w:rsidRPr="000711F2" w14:paraId="2689C860" w14:textId="77777777" w:rsidTr="00610D72">
        <w:trPr>
          <w:trHeight w:val="247"/>
          <w:jc w:val="center"/>
        </w:trPr>
        <w:tc>
          <w:tcPr>
            <w:tcW w:w="1477" w:type="dxa"/>
            <w:tcBorders>
              <w:left w:val="single" w:sz="4" w:space="0" w:color="BFBFBF" w:themeColor="background1" w:themeShade="BF"/>
            </w:tcBorders>
            <w:vAlign w:val="bottom"/>
          </w:tcPr>
          <w:p w14:paraId="4F7D61D3" w14:textId="77777777" w:rsidR="00EA2CEB" w:rsidRPr="000711F2" w:rsidRDefault="00EA2CEB" w:rsidP="00610D72">
            <w:pPr>
              <w:ind w:firstLine="0"/>
              <w:jc w:val="center"/>
              <w:rPr>
                <w:rFonts w:ascii="Arial Narrow" w:hAnsi="Arial Narrow"/>
              </w:rPr>
            </w:pPr>
            <w:r w:rsidRPr="000711F2">
              <w:rPr>
                <w:rFonts w:ascii="Arial Narrow" w:hAnsi="Arial Narrow"/>
              </w:rPr>
              <w:t>2.0</w:t>
            </w:r>
          </w:p>
        </w:tc>
        <w:tc>
          <w:tcPr>
            <w:tcW w:w="987" w:type="dxa"/>
            <w:vAlign w:val="bottom"/>
          </w:tcPr>
          <w:p w14:paraId="181EC8FA" w14:textId="77777777" w:rsidR="00EA2CEB" w:rsidRPr="000711F2" w:rsidRDefault="00EA2CEB" w:rsidP="00610D72">
            <w:pPr>
              <w:ind w:firstLine="0"/>
              <w:jc w:val="center"/>
              <w:rPr>
                <w:rFonts w:ascii="Arial Narrow" w:hAnsi="Arial Narrow"/>
              </w:rPr>
            </w:pPr>
            <w:r w:rsidRPr="000711F2">
              <w:rPr>
                <w:rFonts w:ascii="Arial Narrow" w:hAnsi="Arial Narrow"/>
              </w:rPr>
              <w:t>0.5</w:t>
            </w:r>
          </w:p>
        </w:tc>
        <w:tc>
          <w:tcPr>
            <w:tcW w:w="1084" w:type="dxa"/>
            <w:vAlign w:val="bottom"/>
          </w:tcPr>
          <w:p w14:paraId="7010D2D1"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vAlign w:val="bottom"/>
          </w:tcPr>
          <w:p w14:paraId="50749E60" w14:textId="77777777" w:rsidR="00EA2CEB" w:rsidRPr="000711F2" w:rsidRDefault="00EA2CEB" w:rsidP="00610D72">
            <w:pPr>
              <w:ind w:firstLine="0"/>
              <w:jc w:val="center"/>
              <w:rPr>
                <w:rFonts w:ascii="Arial Narrow" w:hAnsi="Arial Narrow"/>
              </w:rPr>
            </w:pPr>
            <w:r w:rsidRPr="000711F2">
              <w:rPr>
                <w:rFonts w:ascii="Arial Narrow" w:hAnsi="Arial Narrow"/>
              </w:rPr>
              <w:t>2</w:t>
            </w:r>
          </w:p>
        </w:tc>
        <w:tc>
          <w:tcPr>
            <w:tcW w:w="1154" w:type="dxa"/>
            <w:tcBorders>
              <w:right w:val="single" w:sz="4" w:space="0" w:color="BFBFBF" w:themeColor="background1" w:themeShade="BF"/>
            </w:tcBorders>
            <w:vAlign w:val="bottom"/>
          </w:tcPr>
          <w:p w14:paraId="24ECABDB" w14:textId="77777777" w:rsidR="00EA2CEB" w:rsidRPr="000711F2" w:rsidRDefault="00EA2CEB" w:rsidP="00610D72">
            <w:pPr>
              <w:ind w:firstLine="0"/>
              <w:jc w:val="center"/>
              <w:rPr>
                <w:rFonts w:ascii="Arial Narrow" w:hAnsi="Arial Narrow"/>
              </w:rPr>
            </w:pPr>
            <w:r w:rsidRPr="000711F2">
              <w:rPr>
                <w:rFonts w:ascii="Arial Narrow" w:hAnsi="Arial Narrow"/>
              </w:rPr>
              <w:t>98</w:t>
            </w:r>
          </w:p>
        </w:tc>
      </w:tr>
      <w:tr w:rsidR="00EA2CEB" w:rsidRPr="000711F2" w14:paraId="57886809" w14:textId="77777777" w:rsidTr="00610D72">
        <w:trPr>
          <w:trHeight w:val="258"/>
          <w:jc w:val="center"/>
        </w:trPr>
        <w:tc>
          <w:tcPr>
            <w:tcW w:w="1477" w:type="dxa"/>
            <w:tcBorders>
              <w:left w:val="single" w:sz="4" w:space="0" w:color="BFBFBF" w:themeColor="background1" w:themeShade="BF"/>
              <w:bottom w:val="single" w:sz="4" w:space="0" w:color="BFBFBF" w:themeColor="background1" w:themeShade="BF"/>
            </w:tcBorders>
            <w:vAlign w:val="bottom"/>
          </w:tcPr>
          <w:p w14:paraId="0ED8E039" w14:textId="77777777" w:rsidR="00EA2CEB" w:rsidRPr="000711F2" w:rsidRDefault="00EA2CEB" w:rsidP="00610D72">
            <w:pPr>
              <w:ind w:firstLine="0"/>
              <w:jc w:val="center"/>
              <w:rPr>
                <w:rFonts w:ascii="Arial Narrow" w:hAnsi="Arial Narrow"/>
              </w:rPr>
            </w:pPr>
            <w:r w:rsidRPr="000711F2">
              <w:rPr>
                <w:rFonts w:ascii="Arial Narrow" w:hAnsi="Arial Narrow"/>
              </w:rPr>
              <w:t>2.0</w:t>
            </w:r>
          </w:p>
        </w:tc>
        <w:tc>
          <w:tcPr>
            <w:tcW w:w="987" w:type="dxa"/>
            <w:tcBorders>
              <w:bottom w:val="single" w:sz="4" w:space="0" w:color="BFBFBF" w:themeColor="background1" w:themeShade="BF"/>
            </w:tcBorders>
            <w:vAlign w:val="bottom"/>
          </w:tcPr>
          <w:p w14:paraId="311E99EA" w14:textId="77777777" w:rsidR="00EA2CEB" w:rsidRPr="000711F2" w:rsidRDefault="00EA2CEB" w:rsidP="00610D72">
            <w:pPr>
              <w:ind w:firstLine="0"/>
              <w:jc w:val="center"/>
              <w:rPr>
                <w:rFonts w:ascii="Arial Narrow" w:hAnsi="Arial Narrow"/>
              </w:rPr>
            </w:pPr>
            <w:r w:rsidRPr="000711F2">
              <w:rPr>
                <w:rFonts w:ascii="Arial Narrow" w:hAnsi="Arial Narrow"/>
              </w:rPr>
              <w:t>1.0</w:t>
            </w:r>
          </w:p>
        </w:tc>
        <w:tc>
          <w:tcPr>
            <w:tcW w:w="1084" w:type="dxa"/>
            <w:tcBorders>
              <w:bottom w:val="single" w:sz="4" w:space="0" w:color="BFBFBF" w:themeColor="background1" w:themeShade="BF"/>
            </w:tcBorders>
            <w:vAlign w:val="bottom"/>
          </w:tcPr>
          <w:p w14:paraId="7E036A1D"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tcBorders>
              <w:bottom w:val="single" w:sz="4" w:space="0" w:color="BFBFBF" w:themeColor="background1" w:themeShade="BF"/>
            </w:tcBorders>
            <w:vAlign w:val="bottom"/>
          </w:tcPr>
          <w:p w14:paraId="640ADF02" w14:textId="77777777" w:rsidR="00EA2CEB" w:rsidRPr="000711F2" w:rsidRDefault="00EA2CEB" w:rsidP="00610D72">
            <w:pPr>
              <w:ind w:firstLine="0"/>
              <w:jc w:val="center"/>
              <w:rPr>
                <w:rFonts w:ascii="Arial Narrow" w:hAnsi="Arial Narrow"/>
                <w:b/>
              </w:rPr>
            </w:pPr>
            <w:r w:rsidRPr="000711F2">
              <w:rPr>
                <w:rFonts w:ascii="Arial Narrow" w:hAnsi="Arial Narrow"/>
                <w:b/>
              </w:rPr>
              <w:t>16</w:t>
            </w:r>
          </w:p>
        </w:tc>
        <w:tc>
          <w:tcPr>
            <w:tcW w:w="1154" w:type="dxa"/>
            <w:tcBorders>
              <w:bottom w:val="single" w:sz="4" w:space="0" w:color="BFBFBF" w:themeColor="background1" w:themeShade="BF"/>
              <w:right w:val="single" w:sz="4" w:space="0" w:color="BFBFBF" w:themeColor="background1" w:themeShade="BF"/>
            </w:tcBorders>
            <w:vAlign w:val="bottom"/>
          </w:tcPr>
          <w:p w14:paraId="101A2EF7" w14:textId="77777777" w:rsidR="00EA2CEB" w:rsidRPr="000711F2" w:rsidRDefault="00EA2CEB" w:rsidP="00610D72">
            <w:pPr>
              <w:ind w:firstLine="0"/>
              <w:jc w:val="center"/>
              <w:rPr>
                <w:rFonts w:ascii="Arial Narrow" w:hAnsi="Arial Narrow"/>
                <w:b/>
              </w:rPr>
            </w:pPr>
            <w:r w:rsidRPr="000711F2">
              <w:rPr>
                <w:rFonts w:ascii="Arial Narrow" w:hAnsi="Arial Narrow"/>
                <w:b/>
              </w:rPr>
              <w:t>84</w:t>
            </w:r>
          </w:p>
        </w:tc>
      </w:tr>
      <w:tr w:rsidR="00EA2CEB" w:rsidRPr="000711F2" w14:paraId="5CD1F7C3" w14:textId="77777777" w:rsidTr="00610D72">
        <w:trPr>
          <w:trHeight w:val="247"/>
          <w:jc w:val="center"/>
        </w:trPr>
        <w:tc>
          <w:tcPr>
            <w:tcW w:w="1477" w:type="dxa"/>
            <w:tcBorders>
              <w:top w:val="single" w:sz="4" w:space="0" w:color="BFBFBF" w:themeColor="background1" w:themeShade="BF"/>
              <w:left w:val="single" w:sz="4" w:space="0" w:color="BFBFBF" w:themeColor="background1" w:themeShade="BF"/>
            </w:tcBorders>
            <w:vAlign w:val="bottom"/>
          </w:tcPr>
          <w:p w14:paraId="270C04DA" w14:textId="77777777" w:rsidR="00EA2CEB" w:rsidRPr="000711F2" w:rsidRDefault="00EA2CEB" w:rsidP="00610D72">
            <w:pPr>
              <w:ind w:firstLine="0"/>
              <w:jc w:val="center"/>
              <w:rPr>
                <w:rFonts w:ascii="Arial Narrow" w:hAnsi="Arial Narrow"/>
              </w:rPr>
            </w:pPr>
            <w:r w:rsidRPr="000711F2">
              <w:rPr>
                <w:rFonts w:ascii="Arial Narrow" w:hAnsi="Arial Narrow"/>
              </w:rPr>
              <w:t>3.0</w:t>
            </w:r>
          </w:p>
        </w:tc>
        <w:tc>
          <w:tcPr>
            <w:tcW w:w="987" w:type="dxa"/>
            <w:tcBorders>
              <w:top w:val="single" w:sz="4" w:space="0" w:color="BFBFBF" w:themeColor="background1" w:themeShade="BF"/>
            </w:tcBorders>
            <w:vAlign w:val="bottom"/>
          </w:tcPr>
          <w:p w14:paraId="1322E209" w14:textId="77777777" w:rsidR="00EA2CEB" w:rsidRPr="000711F2" w:rsidRDefault="00EA2CEB" w:rsidP="00610D72">
            <w:pPr>
              <w:ind w:firstLine="0"/>
              <w:jc w:val="center"/>
              <w:rPr>
                <w:rFonts w:ascii="Arial Narrow" w:hAnsi="Arial Narrow"/>
              </w:rPr>
            </w:pPr>
            <w:r w:rsidRPr="000711F2">
              <w:rPr>
                <w:rFonts w:ascii="Arial Narrow" w:hAnsi="Arial Narrow"/>
              </w:rPr>
              <w:t>0.0</w:t>
            </w:r>
          </w:p>
        </w:tc>
        <w:tc>
          <w:tcPr>
            <w:tcW w:w="1084" w:type="dxa"/>
            <w:tcBorders>
              <w:top w:val="single" w:sz="4" w:space="0" w:color="BFBFBF" w:themeColor="background1" w:themeShade="BF"/>
            </w:tcBorders>
            <w:vAlign w:val="bottom"/>
          </w:tcPr>
          <w:p w14:paraId="3C4627A5"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tcBorders>
              <w:top w:val="single" w:sz="4" w:space="0" w:color="BFBFBF" w:themeColor="background1" w:themeShade="BF"/>
            </w:tcBorders>
            <w:vAlign w:val="bottom"/>
          </w:tcPr>
          <w:p w14:paraId="6A6BBD81"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154" w:type="dxa"/>
            <w:tcBorders>
              <w:top w:val="single" w:sz="4" w:space="0" w:color="BFBFBF" w:themeColor="background1" w:themeShade="BF"/>
              <w:right w:val="single" w:sz="4" w:space="0" w:color="BFBFBF" w:themeColor="background1" w:themeShade="BF"/>
            </w:tcBorders>
            <w:vAlign w:val="bottom"/>
          </w:tcPr>
          <w:p w14:paraId="4251F287" w14:textId="77777777" w:rsidR="00EA2CEB" w:rsidRPr="000711F2" w:rsidRDefault="00EA2CEB" w:rsidP="00610D72">
            <w:pPr>
              <w:ind w:firstLine="0"/>
              <w:jc w:val="center"/>
              <w:rPr>
                <w:rFonts w:ascii="Arial Narrow" w:hAnsi="Arial Narrow"/>
              </w:rPr>
            </w:pPr>
            <w:r w:rsidRPr="000711F2">
              <w:rPr>
                <w:rFonts w:ascii="Arial Narrow" w:hAnsi="Arial Narrow"/>
              </w:rPr>
              <w:t>100</w:t>
            </w:r>
          </w:p>
        </w:tc>
      </w:tr>
      <w:tr w:rsidR="00EA2CEB" w:rsidRPr="000711F2" w14:paraId="38BBDE20" w14:textId="77777777" w:rsidTr="00610D72">
        <w:trPr>
          <w:trHeight w:val="258"/>
          <w:jc w:val="center"/>
        </w:trPr>
        <w:tc>
          <w:tcPr>
            <w:tcW w:w="1477" w:type="dxa"/>
            <w:tcBorders>
              <w:left w:val="single" w:sz="4" w:space="0" w:color="BFBFBF" w:themeColor="background1" w:themeShade="BF"/>
            </w:tcBorders>
            <w:vAlign w:val="bottom"/>
          </w:tcPr>
          <w:p w14:paraId="7E1AE20E" w14:textId="77777777" w:rsidR="00EA2CEB" w:rsidRPr="000711F2" w:rsidRDefault="00EA2CEB" w:rsidP="00610D72">
            <w:pPr>
              <w:ind w:firstLine="0"/>
              <w:jc w:val="center"/>
              <w:rPr>
                <w:rFonts w:ascii="Arial Narrow" w:hAnsi="Arial Narrow"/>
              </w:rPr>
            </w:pPr>
            <w:r w:rsidRPr="000711F2">
              <w:rPr>
                <w:rFonts w:ascii="Arial Narrow" w:hAnsi="Arial Narrow"/>
              </w:rPr>
              <w:t>3.0</w:t>
            </w:r>
          </w:p>
        </w:tc>
        <w:tc>
          <w:tcPr>
            <w:tcW w:w="987" w:type="dxa"/>
            <w:vAlign w:val="bottom"/>
          </w:tcPr>
          <w:p w14:paraId="685F3AB4" w14:textId="77777777" w:rsidR="00EA2CEB" w:rsidRPr="000711F2" w:rsidRDefault="00EA2CEB" w:rsidP="00610D72">
            <w:pPr>
              <w:ind w:firstLine="0"/>
              <w:jc w:val="center"/>
              <w:rPr>
                <w:rFonts w:ascii="Arial Narrow" w:hAnsi="Arial Narrow"/>
              </w:rPr>
            </w:pPr>
            <w:r w:rsidRPr="000711F2">
              <w:rPr>
                <w:rFonts w:ascii="Arial Narrow" w:hAnsi="Arial Narrow"/>
              </w:rPr>
              <w:t>1.5</w:t>
            </w:r>
          </w:p>
        </w:tc>
        <w:tc>
          <w:tcPr>
            <w:tcW w:w="1084" w:type="dxa"/>
            <w:vAlign w:val="bottom"/>
          </w:tcPr>
          <w:p w14:paraId="285C02E7" w14:textId="77777777" w:rsidR="00EA2CEB" w:rsidRPr="000711F2" w:rsidRDefault="00EA2CEB" w:rsidP="00610D72">
            <w:pPr>
              <w:ind w:firstLine="0"/>
              <w:jc w:val="center"/>
              <w:rPr>
                <w:rFonts w:ascii="Arial Narrow" w:hAnsi="Arial Narrow"/>
              </w:rPr>
            </w:pPr>
            <w:r w:rsidRPr="000711F2">
              <w:rPr>
                <w:rFonts w:ascii="Arial Narrow" w:hAnsi="Arial Narrow"/>
              </w:rPr>
              <w:t>0</w:t>
            </w:r>
          </w:p>
        </w:tc>
        <w:tc>
          <w:tcPr>
            <w:tcW w:w="1039" w:type="dxa"/>
            <w:vAlign w:val="bottom"/>
          </w:tcPr>
          <w:p w14:paraId="6CE826E4" w14:textId="77777777" w:rsidR="00EA2CEB" w:rsidRPr="000711F2" w:rsidRDefault="00EA2CEB" w:rsidP="00610D72">
            <w:pPr>
              <w:ind w:firstLine="0"/>
              <w:jc w:val="center"/>
              <w:rPr>
                <w:rFonts w:ascii="Arial Narrow" w:hAnsi="Arial Narrow"/>
              </w:rPr>
            </w:pPr>
            <w:r w:rsidRPr="000711F2">
              <w:rPr>
                <w:rFonts w:ascii="Arial Narrow" w:hAnsi="Arial Narrow"/>
              </w:rPr>
              <w:t>9</w:t>
            </w:r>
          </w:p>
        </w:tc>
        <w:tc>
          <w:tcPr>
            <w:tcW w:w="1154" w:type="dxa"/>
            <w:tcBorders>
              <w:right w:val="single" w:sz="4" w:space="0" w:color="BFBFBF" w:themeColor="background1" w:themeShade="BF"/>
            </w:tcBorders>
            <w:vAlign w:val="bottom"/>
          </w:tcPr>
          <w:p w14:paraId="2128E3E7" w14:textId="77777777" w:rsidR="00EA2CEB" w:rsidRPr="000711F2" w:rsidRDefault="00EA2CEB" w:rsidP="00610D72">
            <w:pPr>
              <w:ind w:firstLine="0"/>
              <w:jc w:val="center"/>
              <w:rPr>
                <w:rFonts w:ascii="Arial Narrow" w:hAnsi="Arial Narrow"/>
              </w:rPr>
            </w:pPr>
            <w:r w:rsidRPr="000711F2">
              <w:rPr>
                <w:rFonts w:ascii="Arial Narrow" w:hAnsi="Arial Narrow"/>
              </w:rPr>
              <w:t>91</w:t>
            </w:r>
          </w:p>
        </w:tc>
      </w:tr>
      <w:tr w:rsidR="00EA2CEB" w:rsidRPr="000711F2" w14:paraId="2B832AAF" w14:textId="77777777" w:rsidTr="00610D72">
        <w:trPr>
          <w:trHeight w:val="247"/>
          <w:jc w:val="center"/>
        </w:trPr>
        <w:tc>
          <w:tcPr>
            <w:tcW w:w="1477" w:type="dxa"/>
            <w:tcBorders>
              <w:left w:val="single" w:sz="4" w:space="0" w:color="BFBFBF" w:themeColor="background1" w:themeShade="BF"/>
              <w:bottom w:val="single" w:sz="4" w:space="0" w:color="BFBFBF" w:themeColor="background1" w:themeShade="BF"/>
            </w:tcBorders>
            <w:vAlign w:val="bottom"/>
          </w:tcPr>
          <w:p w14:paraId="1A4536DD" w14:textId="77777777" w:rsidR="00EA2CEB" w:rsidRPr="000711F2" w:rsidRDefault="00EA2CEB" w:rsidP="00610D72">
            <w:pPr>
              <w:ind w:firstLine="0"/>
              <w:jc w:val="center"/>
              <w:rPr>
                <w:rFonts w:ascii="Arial Narrow" w:hAnsi="Arial Narrow"/>
              </w:rPr>
            </w:pPr>
            <w:r w:rsidRPr="000711F2">
              <w:rPr>
                <w:rFonts w:ascii="Arial Narrow" w:hAnsi="Arial Narrow"/>
              </w:rPr>
              <w:t>3.0</w:t>
            </w:r>
          </w:p>
        </w:tc>
        <w:tc>
          <w:tcPr>
            <w:tcW w:w="987" w:type="dxa"/>
            <w:tcBorders>
              <w:bottom w:val="single" w:sz="4" w:space="0" w:color="BFBFBF" w:themeColor="background1" w:themeShade="BF"/>
            </w:tcBorders>
            <w:vAlign w:val="bottom"/>
          </w:tcPr>
          <w:p w14:paraId="6C566977" w14:textId="77777777" w:rsidR="00EA2CEB" w:rsidRPr="000711F2" w:rsidRDefault="00EA2CEB" w:rsidP="00610D72">
            <w:pPr>
              <w:ind w:firstLine="0"/>
              <w:jc w:val="center"/>
              <w:rPr>
                <w:rFonts w:ascii="Arial Narrow" w:hAnsi="Arial Narrow"/>
              </w:rPr>
            </w:pPr>
            <w:r w:rsidRPr="000711F2">
              <w:rPr>
                <w:rFonts w:ascii="Arial Narrow" w:hAnsi="Arial Narrow"/>
              </w:rPr>
              <w:t>2.0</w:t>
            </w:r>
          </w:p>
        </w:tc>
        <w:tc>
          <w:tcPr>
            <w:tcW w:w="1084" w:type="dxa"/>
            <w:tcBorders>
              <w:bottom w:val="single" w:sz="4" w:space="0" w:color="BFBFBF" w:themeColor="background1" w:themeShade="BF"/>
            </w:tcBorders>
            <w:vAlign w:val="bottom"/>
          </w:tcPr>
          <w:p w14:paraId="4A18E860" w14:textId="77777777" w:rsidR="00EA2CEB" w:rsidRPr="000711F2" w:rsidRDefault="00EA2CEB" w:rsidP="00610D72">
            <w:pPr>
              <w:ind w:firstLine="0"/>
              <w:jc w:val="center"/>
              <w:rPr>
                <w:rFonts w:ascii="Arial Narrow" w:hAnsi="Arial Narrow"/>
              </w:rPr>
            </w:pPr>
            <w:r w:rsidRPr="000711F2">
              <w:rPr>
                <w:rFonts w:ascii="Arial Narrow" w:hAnsi="Arial Narrow"/>
              </w:rPr>
              <w:t>2</w:t>
            </w:r>
          </w:p>
        </w:tc>
        <w:tc>
          <w:tcPr>
            <w:tcW w:w="1039" w:type="dxa"/>
            <w:tcBorders>
              <w:bottom w:val="single" w:sz="4" w:space="0" w:color="BFBFBF" w:themeColor="background1" w:themeShade="BF"/>
            </w:tcBorders>
            <w:vAlign w:val="bottom"/>
          </w:tcPr>
          <w:p w14:paraId="38978550" w14:textId="77777777" w:rsidR="00EA2CEB" w:rsidRPr="000711F2" w:rsidRDefault="00EA2CEB" w:rsidP="00610D72">
            <w:pPr>
              <w:ind w:firstLine="0"/>
              <w:jc w:val="center"/>
              <w:rPr>
                <w:rFonts w:ascii="Arial Narrow" w:hAnsi="Arial Narrow"/>
                <w:b/>
              </w:rPr>
            </w:pPr>
            <w:r w:rsidRPr="000711F2">
              <w:rPr>
                <w:rFonts w:ascii="Arial Narrow" w:hAnsi="Arial Narrow"/>
                <w:b/>
              </w:rPr>
              <w:t>14</w:t>
            </w:r>
          </w:p>
        </w:tc>
        <w:tc>
          <w:tcPr>
            <w:tcW w:w="1154" w:type="dxa"/>
            <w:tcBorders>
              <w:bottom w:val="single" w:sz="4" w:space="0" w:color="BFBFBF" w:themeColor="background1" w:themeShade="BF"/>
              <w:right w:val="single" w:sz="4" w:space="0" w:color="BFBFBF" w:themeColor="background1" w:themeShade="BF"/>
            </w:tcBorders>
            <w:vAlign w:val="bottom"/>
          </w:tcPr>
          <w:p w14:paraId="27E2311F" w14:textId="77777777" w:rsidR="00EA2CEB" w:rsidRPr="000711F2" w:rsidRDefault="00EA2CEB" w:rsidP="00610D72">
            <w:pPr>
              <w:ind w:firstLine="0"/>
              <w:jc w:val="center"/>
              <w:rPr>
                <w:rFonts w:ascii="Arial Narrow" w:hAnsi="Arial Narrow"/>
                <w:b/>
              </w:rPr>
            </w:pPr>
            <w:r w:rsidRPr="000711F2">
              <w:rPr>
                <w:rFonts w:ascii="Arial Narrow" w:hAnsi="Arial Narrow"/>
                <w:b/>
              </w:rPr>
              <w:t>84</w:t>
            </w:r>
          </w:p>
        </w:tc>
      </w:tr>
      <w:tr w:rsidR="00EA2CEB" w:rsidRPr="000711F2" w14:paraId="19D4040E" w14:textId="77777777" w:rsidTr="00610D72">
        <w:trPr>
          <w:trHeight w:val="505"/>
          <w:jc w:val="center"/>
        </w:trPr>
        <w:tc>
          <w:tcPr>
            <w:tcW w:w="57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62094CCB" w14:textId="77777777" w:rsidR="00EA2CEB" w:rsidRPr="000711F2" w:rsidRDefault="00EA2CEB" w:rsidP="00610D72">
            <w:pPr>
              <w:ind w:firstLine="0"/>
              <w:rPr>
                <w:rFonts w:ascii="Arial Narrow" w:hAnsi="Arial Narrow"/>
              </w:rPr>
            </w:pPr>
            <w:r w:rsidRPr="000711F2">
              <w:rPr>
                <w:rFonts w:ascii="Arial Narrow" w:hAnsi="Arial Narrow"/>
              </w:rPr>
              <w:t>Proportions were derived</w:t>
            </w:r>
            <w:r>
              <w:rPr>
                <w:rFonts w:ascii="Arial Narrow" w:hAnsi="Arial Narrow"/>
              </w:rPr>
              <w:t xml:space="preserve"> with </w:t>
            </w:r>
            <w:hyperlink r:id="rId27" w:tgtFrame="_blank" w:history="1">
              <w:r w:rsidRPr="001E1E6C">
                <w:rPr>
                  <w:rStyle w:val="Hyperlink"/>
                  <w:rFonts w:ascii="Arial Narrow" w:hAnsi="Arial Narrow"/>
                  <w:noProof w:val="0"/>
                </w:rPr>
                <w:t>a spreadsheet</w:t>
              </w:r>
            </w:hyperlink>
            <w:r w:rsidRPr="000711F2">
              <w:rPr>
                <w:rFonts w:ascii="Arial Narrow" w:hAnsi="Arial Narrow"/>
              </w:rPr>
              <w:t xml:space="preserve"> by assuming individual responses were normally distributed with the given mean change and SD</w:t>
            </w:r>
            <w:r w:rsidRPr="000711F2">
              <w:rPr>
                <w:rFonts w:ascii="Arial Narrow" w:hAnsi="Arial Narrow"/>
                <w:vertAlign w:val="subscript"/>
              </w:rPr>
              <w:t>IR</w:t>
            </w:r>
            <w:r w:rsidRPr="000711F2">
              <w:rPr>
                <w:rFonts w:ascii="Arial Narrow" w:hAnsi="Arial Narrow"/>
              </w:rPr>
              <w:t>.</w:t>
            </w:r>
          </w:p>
        </w:tc>
      </w:tr>
    </w:tbl>
    <w:p w14:paraId="75AC4DAC" w14:textId="77777777" w:rsidR="00EA2CEB" w:rsidRDefault="00EA2CEB" w:rsidP="00EA2CEB"/>
    <w:p w14:paraId="6E2CAF5A" w14:textId="77777777" w:rsidR="00EA2CEB" w:rsidRDefault="00EA2CEB" w:rsidP="00EA2CEB">
      <w:pPr>
        <w:sectPr w:rsidR="00EA2CEB" w:rsidSect="008E489B">
          <w:type w:val="continuous"/>
          <w:pgSz w:w="12240" w:h="15840" w:code="1"/>
          <w:pgMar w:top="1134" w:right="1701" w:bottom="1134" w:left="1701" w:header="720" w:footer="720" w:gutter="0"/>
          <w:pgNumType w:fmt="lowerRoman"/>
          <w:cols w:space="346"/>
          <w:titlePg/>
        </w:sectPr>
      </w:pPr>
    </w:p>
    <w:p w14:paraId="3FBFAE6F" w14:textId="36D2EE57" w:rsidR="00977762" w:rsidRDefault="00DC0373" w:rsidP="006C7502">
      <w:r>
        <w:t>T</w:t>
      </w:r>
      <w:r w:rsidR="00977762">
        <w:t>he standard error for SD</w:t>
      </w:r>
      <w:r w:rsidR="00977762">
        <w:rPr>
          <w:vertAlign w:val="subscript"/>
        </w:rPr>
        <w:t>IR</w:t>
      </w:r>
      <w:r w:rsidR="00977762">
        <w:t xml:space="preserve"> </w:t>
      </w:r>
      <w:r>
        <w:t xml:space="preserve">therefore </w:t>
      </w:r>
      <w:r w:rsidR="00977762">
        <w:t>needs to be 0.5 of the standard error for the change in the mean, when the sample size for the change in the mean (n</w:t>
      </w:r>
      <w:r w:rsidR="00977762">
        <w:rPr>
          <w:vertAlign w:val="subscript"/>
        </w:rPr>
        <w:sym w:font="Symbol" w:char="F044"/>
      </w:r>
      <w:r w:rsidR="00977762">
        <w:t>) gives adequate precision for zero change in the mean. The standard error for the change in the mean in each group is SD</w:t>
      </w:r>
      <w:r w:rsidR="00977762">
        <w:rPr>
          <w:vertAlign w:val="subscript"/>
        </w:rPr>
        <w:sym w:font="Symbol" w:char="F044"/>
      </w:r>
      <w:r w:rsidR="00977762">
        <w:t>/</w:t>
      </w:r>
      <w:r w:rsidR="00977762">
        <w:sym w:font="Symbol" w:char="F0D6"/>
      </w:r>
      <w:r w:rsidR="00977762">
        <w:t>n</w:t>
      </w:r>
      <w:r w:rsidR="00977762">
        <w:rPr>
          <w:vertAlign w:val="subscript"/>
        </w:rPr>
        <w:sym w:font="Symbol" w:char="F044"/>
      </w:r>
      <w:r w:rsidR="00977762">
        <w:t xml:space="preserve">, and the standard error for the difference in the changes is </w:t>
      </w:r>
      <w:r w:rsidR="00977762">
        <w:sym w:font="Symbol" w:char="F0D6"/>
      </w:r>
      <w:r w:rsidR="00977762">
        <w:t>2SD</w:t>
      </w:r>
      <w:r w:rsidR="00977762">
        <w:rPr>
          <w:vertAlign w:val="subscript"/>
        </w:rPr>
        <w:sym w:font="Symbol" w:char="F044"/>
      </w:r>
      <w:r w:rsidR="00977762">
        <w:t>/</w:t>
      </w:r>
      <w:r w:rsidR="00977762">
        <w:sym w:font="Symbol" w:char="F0D6"/>
      </w:r>
      <w:r w:rsidR="00977762">
        <w:t>n</w:t>
      </w:r>
      <w:r w:rsidR="00977762">
        <w:rPr>
          <w:vertAlign w:val="subscript"/>
        </w:rPr>
        <w:sym w:font="Symbol" w:char="F044"/>
      </w:r>
      <w:r w:rsidR="00977762">
        <w:t>. So 0.80</w:t>
      </w:r>
      <w:r w:rsidR="00977762">
        <w:sym w:font="Symbol" w:char="F0D6"/>
      </w:r>
      <w:r w:rsidR="00977762">
        <w:t>[2SD</w:t>
      </w:r>
      <w:r w:rsidR="00977762">
        <w:rPr>
          <w:vertAlign w:val="subscript"/>
        </w:rPr>
        <w:sym w:font="Symbol" w:char="F044"/>
      </w:r>
      <w:r w:rsidR="00977762">
        <w:rPr>
          <w:vertAlign w:val="superscript"/>
        </w:rPr>
        <w:t>2</w:t>
      </w:r>
      <w:r w:rsidR="00977762">
        <w:t>/</w:t>
      </w:r>
      <w:r w:rsidR="00977762">
        <w:sym w:font="Symbol" w:char="F0D6"/>
      </w:r>
      <w:r w:rsidR="00977762">
        <w:t>(n</w:t>
      </w:r>
      <w:r w:rsidR="00977762">
        <w:rPr>
          <w:vertAlign w:val="subscript"/>
        </w:rPr>
        <w:t>IR</w:t>
      </w:r>
      <w:r w:rsidR="00977762">
        <w:t>-1)] = 0.5</w:t>
      </w:r>
      <w:r w:rsidR="00977762">
        <w:sym w:font="Symbol" w:char="F0D6"/>
      </w:r>
      <w:r w:rsidR="00977762">
        <w:t>2SD</w:t>
      </w:r>
      <w:r w:rsidR="00977762">
        <w:rPr>
          <w:vertAlign w:val="subscript"/>
        </w:rPr>
        <w:sym w:font="Symbol" w:char="F044"/>
      </w:r>
      <w:r w:rsidR="00977762">
        <w:t>/</w:t>
      </w:r>
      <w:r w:rsidR="00977762">
        <w:sym w:font="Symbol" w:char="F0D6"/>
      </w:r>
      <w:r w:rsidR="00977762">
        <w:t>n</w:t>
      </w:r>
      <w:r w:rsidR="00977762">
        <w:rPr>
          <w:vertAlign w:val="subscript"/>
        </w:rPr>
        <w:sym w:font="Symbol" w:char="F044"/>
      </w:r>
      <w:r w:rsidR="00977762">
        <w:t>, from which it follows that n</w:t>
      </w:r>
      <w:r w:rsidR="00977762">
        <w:rPr>
          <w:vertAlign w:val="subscript"/>
        </w:rPr>
        <w:t>IR</w:t>
      </w:r>
      <w:r w:rsidR="00977762">
        <w:t xml:space="preserve"> = 1+(0.80/0.5)</w:t>
      </w:r>
      <w:r w:rsidR="00977762">
        <w:rPr>
          <w:vertAlign w:val="superscript"/>
        </w:rPr>
        <w:t>4</w:t>
      </w:r>
      <w:r w:rsidR="00977762">
        <w:t>n</w:t>
      </w:r>
      <w:r w:rsidR="00977762">
        <w:rPr>
          <w:vertAlign w:val="subscript"/>
        </w:rPr>
        <w:sym w:font="Symbol" w:char="F044"/>
      </w:r>
      <w:r w:rsidR="00977762">
        <w:rPr>
          <w:vertAlign w:val="superscript"/>
        </w:rPr>
        <w:t>2</w:t>
      </w:r>
      <w:r w:rsidR="00977762">
        <w:t xml:space="preserve"> = 6.5n</w:t>
      </w:r>
      <w:r w:rsidR="00977762">
        <w:rPr>
          <w:vertAlign w:val="subscript"/>
        </w:rPr>
        <w:sym w:font="Symbol" w:char="F044"/>
      </w:r>
      <w:r w:rsidR="00977762">
        <w:rPr>
          <w:vertAlign w:val="superscript"/>
        </w:rPr>
        <w:t>2</w:t>
      </w:r>
      <w:r w:rsidR="00977762">
        <w:t xml:space="preserve">. I have used </w:t>
      </w:r>
      <w:hyperlink r:id="rId28" w:history="1">
        <w:r w:rsidR="00D12894" w:rsidRPr="00D12894">
          <w:rPr>
            <w:rStyle w:val="Hyperlink"/>
            <w:noProof w:val="0"/>
          </w:rPr>
          <w:t>simulations</w:t>
        </w:r>
        <w:r w:rsidR="000711F2" w:rsidRPr="00D12894">
          <w:rPr>
            <w:rStyle w:val="Hyperlink"/>
            <w:noProof w:val="0"/>
          </w:rPr>
          <w:t xml:space="preserve"> published in this issue</w:t>
        </w:r>
      </w:hyperlink>
      <w:r w:rsidR="000711F2">
        <w:t xml:space="preserve"> of Sportscience</w:t>
      </w:r>
      <w:r w:rsidR="00977762">
        <w:t xml:space="preserve"> to check that this formula is valid </w:t>
      </w:r>
      <w:r w:rsidR="00EA2CEB">
        <w:fldChar w:fldCharType="begin"/>
      </w:r>
      <w:r w:rsidR="00EA2CEB">
        <w:instrText xml:space="preserve"> ADDIN EN.CITE &lt;EndNote&gt;&lt;Cite&gt;&lt;Author&gt;Hopkins&lt;/Author&gt;&lt;Year&gt;2018&lt;/Year&gt;&lt;RecNum&gt;1&lt;/RecNum&gt;&lt;DisplayText&gt;(Hopkins, 2018)&lt;/DisplayText&gt;&lt;record&gt;&lt;rec-number&gt;1&lt;/rec-number&gt;&lt;foreign-keys&gt;&lt;key app="EN" db-id="e9w2epsvaeafste225tptxe6ar9w2a5d0trf"&gt;1&lt;/key&gt;&lt;/foreign-keys&gt;&lt;ref-type name="Journal Article"&gt;17&lt;/ref-type&gt;&lt;contributors&gt;&lt;authors&gt;&lt;author&gt;Hopkins, W G&lt;/author&gt;&lt;/authors&gt;&lt;/contributors&gt;&lt;titles&gt;&lt;title&gt;SAS programs for analyzing individual responses in controlled trials&lt;/title&gt;&lt;secondary-title&gt;Sportscience&lt;/secondary-title&gt;&lt;/titles&gt;&lt;pages&gt;1-10&lt;/pages&gt;&lt;volume&gt;22&lt;/volume&gt;&lt;dates&gt;&lt;year&gt;2018&lt;/year&gt;&lt;/dates&gt;&lt;urls&gt;&lt;/urls&gt;&lt;/record&gt;&lt;/Cite&gt;&lt;/EndNote&gt;</w:instrText>
      </w:r>
      <w:r w:rsidR="00EA2CEB">
        <w:fldChar w:fldCharType="separate"/>
      </w:r>
      <w:r w:rsidR="00EA2CEB">
        <w:rPr>
          <w:noProof/>
        </w:rPr>
        <w:t>(</w:t>
      </w:r>
      <w:hyperlink w:anchor="_ENREF_2" w:tooltip="Hopkins, 2018 #1" w:history="1">
        <w:r w:rsidR="00EA2CEB">
          <w:rPr>
            <w:noProof/>
          </w:rPr>
          <w:t>Hopkins, 2018</w:t>
        </w:r>
      </w:hyperlink>
      <w:r w:rsidR="00EA2CEB">
        <w:rPr>
          <w:noProof/>
        </w:rPr>
        <w:t>)</w:t>
      </w:r>
      <w:r w:rsidR="00EA2CEB">
        <w:fldChar w:fldCharType="end"/>
      </w:r>
      <w:r w:rsidR="00977762">
        <w:t xml:space="preserve">. </w:t>
      </w:r>
    </w:p>
    <w:p w14:paraId="4A9E5BEF" w14:textId="77777777" w:rsidR="00EA2CEB" w:rsidRDefault="00EA2CEB" w:rsidP="00EA2CEB">
      <w:pPr>
        <w:pStyle w:val="Reference"/>
      </w:pPr>
    </w:p>
    <w:p w14:paraId="3839AA9A" w14:textId="77777777" w:rsidR="00EA2CEB" w:rsidRDefault="00EA2CEB" w:rsidP="00EA2CEB">
      <w:pPr>
        <w:pStyle w:val="Reference"/>
      </w:pPr>
      <w:r>
        <w:fldChar w:fldCharType="begin"/>
      </w:r>
      <w:r>
        <w:instrText xml:space="preserve"> ADDIN EN.REFLIST </w:instrText>
      </w:r>
      <w:r>
        <w:fldChar w:fldCharType="separate"/>
      </w:r>
      <w:bookmarkStart w:id="2" w:name="_ENREF_1"/>
      <w:r>
        <w:t>Hopkins WG (2006). Estimating sample size for magnitude-based inferences. Sportscience 10, 63-70</w:t>
      </w:r>
      <w:bookmarkEnd w:id="2"/>
    </w:p>
    <w:p w14:paraId="1752BA6D" w14:textId="77777777" w:rsidR="00EA2CEB" w:rsidRDefault="00EA2CEB" w:rsidP="00EA2CEB">
      <w:pPr>
        <w:pStyle w:val="Reference"/>
      </w:pPr>
      <w:bookmarkStart w:id="3" w:name="_ENREF_2"/>
      <w:r>
        <w:t>Hopkins WG (2018). SAS programs for analyzing individual responses in controlled trials. Sportscience 22, 1-10</w:t>
      </w:r>
      <w:bookmarkEnd w:id="3"/>
    </w:p>
    <w:p w14:paraId="5BC6B153" w14:textId="77777777" w:rsidR="00EA2CEB" w:rsidRDefault="00EA2CEB" w:rsidP="00EA2CEB">
      <w:pPr>
        <w:pStyle w:val="Reference"/>
      </w:pPr>
      <w:bookmarkStart w:id="4" w:name="_ENREF_3"/>
      <w:r>
        <w:t>Smith TB, Hopkins WG (2011). Variability and predictability of finals times of elite rowers. Medicine and Science in Sports and Exercise 43, 2155-2160</w:t>
      </w:r>
      <w:bookmarkEnd w:id="4"/>
    </w:p>
    <w:p w14:paraId="708DB329" w14:textId="77777777" w:rsidR="00EA2CEB" w:rsidRDefault="00EA2CEB" w:rsidP="00EA2CEB">
      <w:pPr>
        <w:pStyle w:val="Reference"/>
      </w:pPr>
    </w:p>
    <w:p w14:paraId="01B487A6" w14:textId="071F2F53" w:rsidR="00AC7DDD" w:rsidRDefault="00EA2CEB" w:rsidP="00EA2CEB">
      <w:pPr>
        <w:pStyle w:val="Heading3"/>
      </w:pPr>
      <w:r>
        <w:fldChar w:fldCharType="end"/>
      </w:r>
      <w:r w:rsidR="00AC7DDD" w:rsidRPr="00061BF5">
        <w:t>Reviewer's commentary</w:t>
      </w:r>
    </w:p>
    <w:p w14:paraId="71DB39A7" w14:textId="77777777" w:rsidR="00856935" w:rsidRDefault="00AC7DDD" w:rsidP="00AC7DDD">
      <w:r w:rsidRPr="00AC7DDD">
        <w:t>This is a very useful contribution to the body of knowledge on treatment heterogeneity. Hopkins has demonstrated that the required sample size for adequate precision of estimation of the SD for individual responses (in the worst-case scenario) is infeasibly large, and no such trial could ever be conducted. For example, consider a conventional parallel-group, before-and-after RCT planned with 90% power at 2</w:t>
      </w:r>
      <w:r w:rsidR="004C750C">
        <w:t xml:space="preserve">-tailed </w:t>
      </w:r>
      <w:r w:rsidRPr="00AC7DDD">
        <w:t>P=0.05 to detect a difference of 3 mmHg in systolic blood pressure with an SD of 10 mmHg, with a correlation between baseline and follow-up measures over the time</w:t>
      </w:r>
      <w:r>
        <w:t xml:space="preserve"> </w:t>
      </w:r>
      <w:r w:rsidRPr="00AC7DDD">
        <w:t xml:space="preserve">course of the experiment of r=0.7. Such a study, based on an </w:t>
      </w:r>
      <w:r w:rsidRPr="00AC7DDD">
        <w:lastRenderedPageBreak/>
        <w:t xml:space="preserve">ANCOVA analysis model to adjust for chance baseline imbalance, would require 120 participants in each arm. Detecting individual response variance with adequate precision would require up to 93,600 participants per group! </w:t>
      </w:r>
    </w:p>
    <w:p w14:paraId="3F8F2C88" w14:textId="1B3111A2" w:rsidR="00A362C4" w:rsidRDefault="00AC7DDD" w:rsidP="00A362C4">
      <w:r w:rsidRPr="00AC7DDD">
        <w:t xml:space="preserve">As Hopkins mentions, much smaller and more realistic sample sizes would be needed if the net mean effect (intervention minus control) and the SD for individual responses were substantial. However, he argues persuasively that it is more sensible to design trials with adequate </w:t>
      </w:r>
      <w:r w:rsidRPr="00AC7DDD">
        <w:t>precision to evaluate the effect of putative modifiers of true individual response variance. In this in</w:t>
      </w:r>
      <w:r>
        <w:t>stance the “rule of 4” applies:</w:t>
      </w:r>
      <w:r w:rsidRPr="00AC7DDD">
        <w:t xml:space="preserve"> for any</w:t>
      </w:r>
      <w:r>
        <w:t xml:space="preserve"> such effect modifier we need 4</w:t>
      </w:r>
      <w:r>
        <w:sym w:font="Symbol" w:char="F0B4"/>
      </w:r>
      <w:r w:rsidRPr="00AC7DDD">
        <w:t xml:space="preserve"> the sample size required for the overall net mean effect (480 per arm in the above example). With ever increa</w:t>
      </w:r>
      <w:r>
        <w:t>sing hype surrounding personaliz</w:t>
      </w:r>
      <w:r w:rsidRPr="00AC7DDD">
        <w:t>ed or precision medicine</w:t>
      </w:r>
      <w:r>
        <w:t>,</w:t>
      </w:r>
      <w:r w:rsidRPr="00AC7DDD">
        <w:t xml:space="preserve"> we need larger trials and appropriate analysis methods to make robust inferences. </w:t>
      </w:r>
    </w:p>
    <w:p w14:paraId="72AC2B07" w14:textId="77777777" w:rsidR="00A362C4" w:rsidRDefault="00A362C4" w:rsidP="00455E1B">
      <w:pPr>
        <w:spacing w:before="60"/>
        <w:ind w:firstLine="0"/>
        <w:sectPr w:rsidR="00A362C4" w:rsidSect="00314024">
          <w:headerReference w:type="default" r:id="rId29"/>
          <w:type w:val="continuous"/>
          <w:pgSz w:w="12240" w:h="15840" w:code="1"/>
          <w:pgMar w:top="1134" w:right="1701" w:bottom="1134" w:left="1701" w:header="720" w:footer="720" w:gutter="0"/>
          <w:pgNumType w:fmt="lowerRoman" w:start="1"/>
          <w:cols w:num="2" w:space="346"/>
          <w:titlePg/>
        </w:sectPr>
      </w:pPr>
    </w:p>
    <w:p w14:paraId="51FBB2A3" w14:textId="77777777" w:rsidR="00A362C4" w:rsidRDefault="00A362C4" w:rsidP="00A362C4">
      <w:pPr>
        <w:spacing w:before="60"/>
        <w:ind w:left="284" w:right="278" w:firstLine="0"/>
      </w:pPr>
      <w:bookmarkStart w:id="5" w:name="spsr"/>
      <w:bookmarkEnd w:id="5"/>
    </w:p>
    <w:p w14:paraId="4001043C" w14:textId="6D3B8C3D" w:rsidR="00A362C4" w:rsidRPr="00000B9C" w:rsidRDefault="00A362C4" w:rsidP="00A362C4">
      <w:pPr>
        <w:pStyle w:val="Heading2"/>
        <w:shd w:val="clear" w:color="auto" w:fill="F6EAF6"/>
        <w:spacing w:before="60"/>
        <w:jc w:val="left"/>
      </w:pPr>
      <w:r>
        <w:t xml:space="preserve">Sport Performance </w:t>
      </w:r>
      <w:r w:rsidR="008106B0">
        <w:t>&amp;</w:t>
      </w:r>
      <w:r>
        <w:t xml:space="preserve"> Science Reports</w:t>
      </w:r>
    </w:p>
    <w:p w14:paraId="020C56A8" w14:textId="1C7CE3B1" w:rsidR="00A362C4" w:rsidRDefault="008106B0" w:rsidP="00A362C4">
      <w:pPr>
        <w:pStyle w:val="Address"/>
        <w:spacing w:after="60"/>
        <w:rPr>
          <w:rStyle w:val="Hyperlink"/>
          <w:rFonts w:cs="Arial"/>
          <w:noProof w:val="0"/>
          <w:sz w:val="14"/>
          <w:szCs w:val="18"/>
        </w:rPr>
        <w:sectPr w:rsidR="00A362C4" w:rsidSect="004C0549">
          <w:type w:val="continuous"/>
          <w:pgSz w:w="12240" w:h="15840" w:code="1"/>
          <w:pgMar w:top="1134" w:right="1701" w:bottom="1134" w:left="1701" w:header="720" w:footer="720" w:gutter="0"/>
          <w:pgNumType w:fmt="lowerRoman"/>
          <w:cols w:space="346"/>
        </w:sectPr>
      </w:pPr>
      <w:r w:rsidRPr="008106B0">
        <w:rPr>
          <w:rFonts w:cs="Arial"/>
          <w:b/>
          <w:color w:val="000000"/>
          <w:szCs w:val="16"/>
        </w:rPr>
        <w:t>Martin Buchheit</w:t>
      </w:r>
      <w:r>
        <w:rPr>
          <w:rFonts w:cs="Arial"/>
          <w:color w:val="000000"/>
          <w:szCs w:val="16"/>
        </w:rPr>
        <w:t>, Paris Saint-Germain, 78100 Saint-Germain-en-Laye, Paris, France</w:t>
      </w:r>
      <w:r w:rsidR="00A362C4" w:rsidRPr="00CC6963">
        <w:t xml:space="preserve">. </w:t>
      </w:r>
      <w:hyperlink r:id="rId30" w:history="1">
        <w:r w:rsidR="00A362C4" w:rsidRPr="00CC6963">
          <w:rPr>
            <w:rStyle w:val="Hyperlink"/>
            <w:b/>
            <w:bCs/>
            <w:noProof w:val="0"/>
          </w:rPr>
          <w:t>Email</w:t>
        </w:r>
      </w:hyperlink>
      <w:r w:rsidR="00A362C4">
        <w:t xml:space="preserve">. </w:t>
      </w:r>
      <w:r w:rsidR="00376D1F">
        <w:t>Reviewer</w:t>
      </w:r>
      <w:r w:rsidR="00CF20D2">
        <w:t xml:space="preserve">: </w:t>
      </w:r>
      <w:r w:rsidR="00CF20D2" w:rsidRPr="00455E1B">
        <w:rPr>
          <w:bCs/>
        </w:rPr>
        <w:t>Will G Hopkins</w:t>
      </w:r>
      <w:r w:rsidR="00CF20D2" w:rsidRPr="001E2776">
        <w:t xml:space="preserve">, </w:t>
      </w:r>
      <w:r w:rsidR="00CF20D2">
        <w:t>Institute of Sport Exercise and Active Living, Victoria University, Melbourne, Australia</w:t>
      </w:r>
      <w:r w:rsidR="00CF20D2" w:rsidRPr="00CC6963">
        <w:t>.</w:t>
      </w:r>
      <w:r w:rsidR="00CF20D2">
        <w:t xml:space="preserve"> </w:t>
      </w:r>
      <w:r w:rsidR="00A362C4">
        <w:t xml:space="preserve">Sportscience 22, ii, 2018 (sportsci.org/2018/inbrief.htm#spsr. </w:t>
      </w:r>
      <w:r w:rsidR="00A362C4" w:rsidRPr="00CC6963">
        <w:t xml:space="preserve">Published </w:t>
      </w:r>
      <w:r w:rsidR="00A362C4">
        <w:t>Feb 2018</w:t>
      </w:r>
      <w:r w:rsidR="00A362C4" w:rsidRPr="00CC6963">
        <w:t xml:space="preserve">. </w:t>
      </w:r>
      <w:hyperlink r:id="rId31" w:history="1">
        <w:r w:rsidR="00A362C4" w:rsidRPr="00CC6963">
          <w:rPr>
            <w:rStyle w:val="Hyperlink"/>
            <w:rFonts w:cs="Arial"/>
            <w:noProof w:val="0"/>
            <w:sz w:val="14"/>
            <w:szCs w:val="18"/>
          </w:rPr>
          <w:t>©20</w:t>
        </w:r>
        <w:r w:rsidR="00A362C4">
          <w:rPr>
            <w:rStyle w:val="Hyperlink"/>
            <w:rFonts w:cs="Arial"/>
            <w:noProof w:val="0"/>
            <w:sz w:val="14"/>
            <w:szCs w:val="18"/>
          </w:rPr>
          <w:t>18</w:t>
        </w:r>
      </w:hyperlink>
    </w:p>
    <w:p w14:paraId="6AD7F468" w14:textId="39707A65" w:rsidR="00376D1F" w:rsidRDefault="00EE72F7" w:rsidP="008106B0">
      <w:r>
        <w:t>The journal</w:t>
      </w:r>
      <w:r w:rsidR="00317737">
        <w:t xml:space="preserve"> </w:t>
      </w:r>
      <w:r w:rsidR="00A362C4" w:rsidRPr="001E2776">
        <w:rPr>
          <w:i/>
        </w:rPr>
        <w:t>Sport Performance &amp; Science Reports</w:t>
      </w:r>
      <w:r w:rsidR="00A362C4" w:rsidRPr="00A362C4">
        <w:t xml:space="preserve"> was launched in November 2017 in response to the frustrations that many </w:t>
      </w:r>
      <w:r>
        <w:t>applied sport scientists</w:t>
      </w:r>
      <w:r w:rsidR="00A362C4" w:rsidRPr="00A362C4">
        <w:t xml:space="preserve"> experience with </w:t>
      </w:r>
      <w:r>
        <w:t xml:space="preserve">the </w:t>
      </w:r>
      <w:r w:rsidR="00A362C4" w:rsidRPr="00A362C4">
        <w:t>relevance and dissemination</w:t>
      </w:r>
      <w:r w:rsidR="00E16259">
        <w:t xml:space="preserve"> of sport research</w:t>
      </w:r>
      <w:r w:rsidR="00A362C4" w:rsidRPr="00A362C4">
        <w:t xml:space="preserve">. </w:t>
      </w:r>
      <w:r>
        <w:t>As an applied</w:t>
      </w:r>
      <w:r w:rsidRPr="00A362C4">
        <w:t xml:space="preserve"> </w:t>
      </w:r>
      <w:r w:rsidR="00A362C4" w:rsidRPr="00A362C4">
        <w:t>sport scientist</w:t>
      </w:r>
      <w:r>
        <w:t xml:space="preserve"> working</w:t>
      </w:r>
      <w:r w:rsidR="00A362C4" w:rsidRPr="00A362C4">
        <w:t xml:space="preserve"> in elite </w:t>
      </w:r>
      <w:r>
        <w:t xml:space="preserve">sport, I have found </w:t>
      </w:r>
      <w:r w:rsidR="00A362C4" w:rsidRPr="00A362C4">
        <w:t xml:space="preserve">that research is </w:t>
      </w:r>
      <w:r>
        <w:t xml:space="preserve">often not </w:t>
      </w:r>
      <w:r w:rsidR="00A362C4" w:rsidRPr="00A362C4">
        <w:t>aligned toward practitioners</w:t>
      </w:r>
      <w:r w:rsidRPr="00A362C4">
        <w:t>’</w:t>
      </w:r>
      <w:r w:rsidR="00A362C4" w:rsidRPr="00A362C4">
        <w:t xml:space="preserve"> real needs</w:t>
      </w:r>
      <w:r w:rsidR="000905DD">
        <w:t xml:space="preserve">. Furthermore, it is usually written in </w:t>
      </w:r>
      <w:r w:rsidR="00CF20D2">
        <w:t xml:space="preserve">a difficult </w:t>
      </w:r>
      <w:r w:rsidR="000905DD">
        <w:t xml:space="preserve">academic style and hidden behind a journal subscription. </w:t>
      </w:r>
      <w:r w:rsidR="00F716E0">
        <w:t xml:space="preserve">You can find my thoughts on this problem hidden in an invited commentary (Buchheit, 2017). Fortunately I was able to co-publish </w:t>
      </w:r>
      <w:hyperlink r:id="rId32" w:tgtFrame="_blank" w:history="1">
        <w:r w:rsidR="00F716E0" w:rsidRPr="00F716E0">
          <w:rPr>
            <w:rStyle w:val="Hyperlink"/>
            <w:noProof w:val="0"/>
          </w:rPr>
          <w:t>the commentary</w:t>
        </w:r>
      </w:hyperlink>
      <w:r w:rsidR="00F716E0">
        <w:t xml:space="preserve"> in</w:t>
      </w:r>
      <w:r w:rsidR="000905DD">
        <w:t xml:space="preserve"> </w:t>
      </w:r>
      <w:hyperlink r:id="rId33" w:tgtFrame="_blank" w:history="1">
        <w:r w:rsidR="000905DD" w:rsidRPr="008F01DA">
          <w:rPr>
            <w:rStyle w:val="Hyperlink"/>
            <w:noProof w:val="0"/>
          </w:rPr>
          <w:t>my blog</w:t>
        </w:r>
      </w:hyperlink>
      <w:r w:rsidR="000905DD">
        <w:t xml:space="preserve">, </w:t>
      </w:r>
      <w:r w:rsidR="00F716E0">
        <w:t xml:space="preserve">where you will see that </w:t>
      </w:r>
      <w:r w:rsidR="000905DD">
        <w:t xml:space="preserve">I compared sport scientists with astronauts </w:t>
      </w:r>
      <w:r w:rsidR="00F716E0" w:rsidRPr="00A408E5">
        <w:t>stuck in orbit</w:t>
      </w:r>
      <w:r w:rsidR="001E2776">
        <w:t>, waiting to be rescued.</w:t>
      </w:r>
      <w:r w:rsidR="00A362C4" w:rsidRPr="00A362C4">
        <w:t xml:space="preserve"> </w:t>
      </w:r>
      <w:r w:rsidR="000905DD">
        <w:t xml:space="preserve">The new journal is </w:t>
      </w:r>
      <w:r w:rsidR="00376D1F">
        <w:t xml:space="preserve">a rescue </w:t>
      </w:r>
      <w:r w:rsidR="00CF20D2">
        <w:t>mission</w:t>
      </w:r>
      <w:r w:rsidR="00376D1F">
        <w:t>.</w:t>
      </w:r>
      <w:r w:rsidR="000905DD">
        <w:t xml:space="preserve"> </w:t>
      </w:r>
    </w:p>
    <w:p w14:paraId="579D4CAA" w14:textId="6B6C418B" w:rsidR="008106B0" w:rsidRDefault="00376D1F" w:rsidP="008106B0">
      <w:r>
        <w:t>Articles</w:t>
      </w:r>
      <w:r w:rsidRPr="00A362C4">
        <w:t xml:space="preserve"> </w:t>
      </w:r>
      <w:r w:rsidR="00A362C4" w:rsidRPr="00A362C4">
        <w:t xml:space="preserve">published in </w:t>
      </w:r>
      <w:r w:rsidR="00A362C4" w:rsidRPr="001E2776">
        <w:rPr>
          <w:i/>
        </w:rPr>
        <w:t>Sport Performance &amp; Science Reports</w:t>
      </w:r>
      <w:r w:rsidR="00A362C4" w:rsidRPr="00A362C4">
        <w:t xml:space="preserve"> are short</w:t>
      </w:r>
      <w:r>
        <w:t xml:space="preserve"> and</w:t>
      </w:r>
      <w:r w:rsidR="00A362C4" w:rsidRPr="00A362C4">
        <w:t xml:space="preserve"> straight</w:t>
      </w:r>
      <w:r>
        <w:t xml:space="preserve"> </w:t>
      </w:r>
      <w:r w:rsidR="00A362C4" w:rsidRPr="00A362C4">
        <w:t>to the point</w:t>
      </w:r>
      <w:r>
        <w:t>,</w:t>
      </w:r>
      <w:r w:rsidR="00A362C4" w:rsidRPr="00A362C4">
        <w:t xml:space="preserve"> with clear practical applications</w:t>
      </w:r>
      <w:r>
        <w:t>. B</w:t>
      </w:r>
      <w:r w:rsidR="00A362C4" w:rsidRPr="00A362C4">
        <w:t>usy practitioners can write th</w:t>
      </w:r>
      <w:r>
        <w:t>e</w:t>
      </w:r>
      <w:r w:rsidR="00A362C4" w:rsidRPr="00A362C4">
        <w:t xml:space="preserve">se </w:t>
      </w:r>
      <w:r>
        <w:t>articles</w:t>
      </w:r>
      <w:r w:rsidR="00A362C4" w:rsidRPr="00A362C4">
        <w:t xml:space="preserve">, improving </w:t>
      </w:r>
      <w:r w:rsidR="00A362C4" w:rsidRPr="00A362C4">
        <w:t xml:space="preserve">their relevance. </w:t>
      </w:r>
      <w:r>
        <w:t>The articles</w:t>
      </w:r>
      <w:r w:rsidRPr="00A362C4">
        <w:t xml:space="preserve"> </w:t>
      </w:r>
      <w:r w:rsidR="00A362C4" w:rsidRPr="00A362C4">
        <w:t>are also published with their accompanying database and stat</w:t>
      </w:r>
      <w:r>
        <w:t>istical</w:t>
      </w:r>
      <w:r w:rsidR="00A362C4" w:rsidRPr="00A362C4">
        <w:t xml:space="preserve"> spreadsheets for better transparency and learning opportunities for peers. Finally, </w:t>
      </w:r>
      <w:r w:rsidR="001E2776">
        <w:t>the editors of the new journal and our colleagues</w:t>
      </w:r>
      <w:r w:rsidR="00A362C4" w:rsidRPr="00A362C4">
        <w:t xml:space="preserve"> </w:t>
      </w:r>
      <w:r>
        <w:t xml:space="preserve">are all </w:t>
      </w:r>
      <w:r w:rsidR="00CF20D2">
        <w:t>frustrated</w:t>
      </w:r>
      <w:r>
        <w:t xml:space="preserve"> </w:t>
      </w:r>
      <w:r w:rsidR="00A362C4" w:rsidRPr="00A362C4">
        <w:t xml:space="preserve">with </w:t>
      </w:r>
      <w:r>
        <w:t>the flaw</w:t>
      </w:r>
      <w:r w:rsidR="00CF20D2">
        <w:t>ed</w:t>
      </w:r>
      <w:r>
        <w:t xml:space="preserve"> traditional </w:t>
      </w:r>
      <w:r w:rsidR="00A362C4" w:rsidRPr="00A362C4">
        <w:t xml:space="preserve">reviewing </w:t>
      </w:r>
      <w:r>
        <w:t>process</w:t>
      </w:r>
      <w:r w:rsidR="00D107FE">
        <w:t xml:space="preserve"> and the pervasive climate of manuscript rejection</w:t>
      </w:r>
      <w:r w:rsidR="001E2776">
        <w:t>. W</w:t>
      </w:r>
      <w:r w:rsidR="00A362C4" w:rsidRPr="00A362C4">
        <w:t xml:space="preserve">e </w:t>
      </w:r>
      <w:r w:rsidR="00CF20D2">
        <w:t xml:space="preserve">have </w:t>
      </w:r>
      <w:r w:rsidR="001E2776">
        <w:t xml:space="preserve">therefore </w:t>
      </w:r>
      <w:r w:rsidR="00CF20D2">
        <w:t>opted for post-publication peer review, whereby all articles consistent with the journal's aims and guidelines are published immediately. Authors may then update their articles in response to comments</w:t>
      </w:r>
      <w:r w:rsidR="00D107FE">
        <w:t xml:space="preserve"> from readers.</w:t>
      </w:r>
      <w:r w:rsidR="00CF20D2">
        <w:t xml:space="preserve"> W</w:t>
      </w:r>
      <w:r w:rsidR="00A362C4" w:rsidRPr="00A362C4">
        <w:t xml:space="preserve">e hope that our initiative will </w:t>
      </w:r>
      <w:r w:rsidR="00D107FE">
        <w:t>help bring sport scientists down to earth, where they can lead more rewarding professional lives in the service of sport</w:t>
      </w:r>
      <w:r w:rsidR="00A362C4" w:rsidRPr="00A362C4">
        <w:t>.</w:t>
      </w:r>
    </w:p>
    <w:p w14:paraId="57E974B9" w14:textId="063C497E" w:rsidR="00F716E0" w:rsidRDefault="00F716E0" w:rsidP="00455E1B">
      <w:pPr>
        <w:pStyle w:val="Reference"/>
        <w:spacing w:before="120"/>
        <w:ind w:left="181" w:hanging="181"/>
      </w:pPr>
      <w:r>
        <w:t xml:space="preserve">Buchheit, M. (2017). Houston, we still have a problem. </w:t>
      </w:r>
      <w:r w:rsidRPr="00F716E0">
        <w:t xml:space="preserve">  International Journal of Sports Physiology and Performance</w:t>
      </w:r>
      <w:r>
        <w:t xml:space="preserve"> 12, 1111-1114</w:t>
      </w:r>
    </w:p>
    <w:p w14:paraId="3A168CC6" w14:textId="3A390E28" w:rsidR="00DE2692" w:rsidRDefault="00DE2692" w:rsidP="008106B0">
      <w:pPr>
        <w:ind w:firstLine="0"/>
        <w:jc w:val="center"/>
        <w:sectPr w:rsidR="00DE2692" w:rsidSect="00D76971">
          <w:headerReference w:type="default" r:id="rId34"/>
          <w:type w:val="continuous"/>
          <w:pgSz w:w="12240" w:h="15840" w:code="1"/>
          <w:pgMar w:top="1134" w:right="1701" w:bottom="1134" w:left="1701" w:header="720" w:footer="720" w:gutter="0"/>
          <w:pgNumType w:fmt="lowerRoman"/>
          <w:cols w:num="2" w:space="346"/>
          <w:titlePg/>
        </w:sectPr>
      </w:pPr>
      <w:r w:rsidRPr="00CC6963">
        <w:t>———</w:t>
      </w:r>
      <w:r>
        <w:t>–</w:t>
      </w:r>
    </w:p>
    <w:p w14:paraId="0E236A04" w14:textId="77777777" w:rsidR="00DE2692" w:rsidRDefault="00DE2692" w:rsidP="00DE2692">
      <w:pPr>
        <w:pStyle w:val="Reference"/>
        <w:jc w:val="center"/>
      </w:pPr>
    </w:p>
    <w:p w14:paraId="7FA6C602" w14:textId="77777777" w:rsidR="00DE2692" w:rsidRDefault="00DE2692" w:rsidP="00DE2692"/>
    <w:p w14:paraId="3C074186" w14:textId="77777777" w:rsidR="00DE2692" w:rsidRDefault="00DE2692" w:rsidP="00DE2692"/>
    <w:p w14:paraId="254B8C43" w14:textId="77777777" w:rsidR="00D0573B" w:rsidRDefault="00D0573B" w:rsidP="00992D87"/>
    <w:p w14:paraId="35D7215B" w14:textId="77777777" w:rsidR="00EA2CEB" w:rsidRDefault="00EA2CEB" w:rsidP="00D0573B">
      <w:pPr>
        <w:ind w:left="284" w:hanging="284"/>
      </w:pPr>
    </w:p>
    <w:p w14:paraId="49406F6A" w14:textId="3068FFD9" w:rsidR="008E489B" w:rsidRDefault="008E489B" w:rsidP="00D0573B">
      <w:pPr>
        <w:ind w:left="284" w:hanging="284"/>
      </w:pPr>
    </w:p>
    <w:sectPr w:rsidR="008E489B" w:rsidSect="008E66D1">
      <w:headerReference w:type="even" r:id="rId35"/>
      <w:type w:val="continuous"/>
      <w:pgSz w:w="12240" w:h="15840" w:code="1"/>
      <w:pgMar w:top="1134" w:right="1701" w:bottom="1134" w:left="1701" w:header="720" w:footer="720" w:gutter="0"/>
      <w:pgNumType w:fmt="lowerRoman"/>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819F" w14:textId="77777777" w:rsidR="004B2234" w:rsidRDefault="004B2234" w:rsidP="00DD497C">
      <w:r>
        <w:separator/>
      </w:r>
    </w:p>
    <w:p w14:paraId="62736CED" w14:textId="77777777" w:rsidR="004B2234" w:rsidRDefault="004B2234" w:rsidP="00DD497C"/>
  </w:endnote>
  <w:endnote w:type="continuationSeparator" w:id="0">
    <w:p w14:paraId="45DA4516" w14:textId="77777777" w:rsidR="004B2234" w:rsidRDefault="004B2234" w:rsidP="00DD497C">
      <w:r>
        <w:continuationSeparator/>
      </w:r>
    </w:p>
    <w:p w14:paraId="61993050" w14:textId="77777777" w:rsidR="004B2234" w:rsidRDefault="004B2234" w:rsidP="00DD4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EC8A" w14:textId="77777777" w:rsidR="004008FC" w:rsidRDefault="004008FC"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C23C54" w14:textId="77777777" w:rsidR="004008FC" w:rsidRDefault="004008FC" w:rsidP="00B2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8F87" w14:textId="0DA500C8" w:rsidR="004008FC" w:rsidRPr="00D823BC" w:rsidRDefault="004008FC" w:rsidP="00D07CA9">
    <w:pPr>
      <w:pStyle w:val="Footer"/>
      <w:pBdr>
        <w:top w:val="single" w:sz="4" w:space="1" w:color="auto"/>
      </w:pBdr>
      <w:jc w:val="right"/>
    </w:pPr>
    <w:r w:rsidRPr="00D823BC">
      <w:rPr>
        <w:i/>
      </w:rPr>
      <w:tab/>
    </w:r>
    <w:r w:rsidRPr="00D823BC">
      <w:t xml:space="preserve">Sportscience </w:t>
    </w:r>
    <w:r w:rsidR="008E489B">
      <w:t>22</w:t>
    </w:r>
    <w:r w:rsidRPr="00D823BC">
      <w:t>,</w:t>
    </w:r>
    <w:r>
      <w:t xml:space="preserve"> i</w:t>
    </w:r>
    <w:r w:rsidR="00302C9E">
      <w:t>-ii</w:t>
    </w:r>
    <w:r w:rsidR="001E1E6C">
      <w:t>i</w:t>
    </w:r>
    <w:r w:rsidRPr="00D823BC">
      <w:t>, 20</w:t>
    </w:r>
    <w:r>
      <w:t>1</w:t>
    </w:r>
    <w:r w:rsidR="008E489B">
      <w:t>8</w:t>
    </w:r>
  </w:p>
  <w:p w14:paraId="49E622C8" w14:textId="77777777" w:rsidR="004008FC" w:rsidRPr="00D823BC" w:rsidRDefault="004008FC" w:rsidP="00B2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1612" w14:textId="56B054FE" w:rsidR="004008FC" w:rsidRPr="00D823BC" w:rsidRDefault="004008FC" w:rsidP="00D07CA9">
    <w:pPr>
      <w:pStyle w:val="Footer"/>
      <w:pBdr>
        <w:top w:val="single" w:sz="4" w:space="1" w:color="auto"/>
      </w:pBdr>
      <w:jc w:val="right"/>
    </w:pPr>
    <w:r w:rsidRPr="00D823BC">
      <w:rPr>
        <w:i/>
      </w:rPr>
      <w:tab/>
    </w:r>
    <w:r w:rsidRPr="00D823BC">
      <w:t xml:space="preserve">Sportscience </w:t>
    </w:r>
    <w:r w:rsidR="008E489B">
      <w:t>22</w:t>
    </w:r>
    <w:r w:rsidRPr="00D823BC">
      <w:t>,</w:t>
    </w:r>
    <w:r>
      <w:t xml:space="preserve"> i</w:t>
    </w:r>
    <w:r w:rsidR="00302C9E">
      <w:t>-ii</w:t>
    </w:r>
    <w:r w:rsidR="001E1E6C">
      <w:t>i</w:t>
    </w:r>
    <w:r w:rsidR="00A4682B">
      <w:t>,</w:t>
    </w:r>
    <w:r w:rsidRPr="00D823BC">
      <w:t xml:space="preserve"> 20</w:t>
    </w:r>
    <w:r>
      <w:t>1</w:t>
    </w:r>
    <w:r w:rsidR="008E489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D1BBF" w14:textId="77777777" w:rsidR="004B2234" w:rsidRDefault="004B2234" w:rsidP="00435D7C">
      <w:r>
        <w:separator/>
      </w:r>
    </w:p>
    <w:p w14:paraId="1A4E4E99" w14:textId="77777777" w:rsidR="004B2234" w:rsidRDefault="004B2234" w:rsidP="00302780"/>
  </w:footnote>
  <w:footnote w:type="continuationSeparator" w:id="0">
    <w:p w14:paraId="6B453D1E" w14:textId="77777777" w:rsidR="004B2234" w:rsidRDefault="004B2234" w:rsidP="00DD497C">
      <w:r>
        <w:continuationSeparator/>
      </w:r>
    </w:p>
    <w:p w14:paraId="5A4695F8" w14:textId="77777777" w:rsidR="004B2234" w:rsidRDefault="004B2234" w:rsidP="00DD49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F245" w14:textId="77777777" w:rsidR="004008FC" w:rsidRDefault="004008FC"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3B1946D0" w14:textId="77777777" w:rsidR="004008FC" w:rsidRDefault="004008FC" w:rsidP="00B265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38D4" w14:textId="77777777" w:rsidR="004008FC" w:rsidRPr="00860F82" w:rsidRDefault="004008FC"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E4D8" w14:textId="77777777" w:rsidR="004420C2" w:rsidRPr="00860F82" w:rsidRDefault="004420C2"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FF0E1" w14:textId="52862B73" w:rsidR="00EA2CEB" w:rsidRPr="00860F82" w:rsidRDefault="00EA2CEB"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151FD4">
      <w:rPr>
        <w:rStyle w:val="PageNumber"/>
        <w:noProof/>
        <w:sz w:val="20"/>
      </w:rPr>
      <w:t>ii</w:t>
    </w:r>
    <w:r w:rsidRPr="00860F82">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3298" w14:textId="6736BE1D" w:rsidR="00A362C4" w:rsidRPr="00860F82" w:rsidRDefault="00A362C4"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151FD4">
      <w:rPr>
        <w:rStyle w:val="PageNumber"/>
        <w:noProof/>
        <w:sz w:val="20"/>
      </w:rPr>
      <w:t>iii</w:t>
    </w:r>
    <w:r w:rsidRPr="00860F82">
      <w:rPr>
        <w:rStyle w:val="PageNumbe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F4BD" w14:textId="0B3DB3D9" w:rsidR="004008FC" w:rsidRPr="00860F82" w:rsidRDefault="004008FC"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A362C4">
      <w:rPr>
        <w:rStyle w:val="PageNumber"/>
        <w:noProof/>
        <w:sz w:val="20"/>
      </w:rPr>
      <w:t>iii</w:t>
    </w:r>
    <w:r w:rsidRPr="00860F82">
      <w:rPr>
        <w:rStyle w:val="PageNumber"/>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054F" w14:textId="77777777" w:rsidR="004008FC" w:rsidRDefault="004008FC"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70B38030" w14:textId="77777777" w:rsidR="004008FC" w:rsidRDefault="004008FC" w:rsidP="00B26590">
    <w:pPr>
      <w:pStyle w:val="Header"/>
      <w:rPr>
        <w:rStyle w:val="PageNumber"/>
      </w:rPr>
    </w:pPr>
  </w:p>
  <w:p w14:paraId="31499F22" w14:textId="77777777" w:rsidR="004008FC" w:rsidRDefault="004008FC" w:rsidP="00B26590"/>
  <w:p w14:paraId="706AB231" w14:textId="77777777" w:rsidR="004008FC" w:rsidRDefault="004008FC" w:rsidP="00B265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CB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E46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0E2B3DBD"/>
    <w:multiLevelType w:val="hybridMultilevel"/>
    <w:tmpl w:val="0B7C064E"/>
    <w:lvl w:ilvl="0" w:tplc="67EAEC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34C54"/>
    <w:multiLevelType w:val="multilevel"/>
    <w:tmpl w:val="4F0CD1DE"/>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1BD7E5A"/>
    <w:multiLevelType w:val="hybridMultilevel"/>
    <w:tmpl w:val="E1E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03537"/>
    <w:multiLevelType w:val="singleLevel"/>
    <w:tmpl w:val="1C788F92"/>
    <w:lvl w:ilvl="0">
      <w:numFmt w:val="decimal"/>
      <w:pStyle w:val="ListBullet2"/>
      <w:lvlText w:val="*"/>
      <w:lvlJc w:val="left"/>
    </w:lvl>
  </w:abstractNum>
  <w:abstractNum w:abstractNumId="18"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3"/>
  </w:num>
  <w:num w:numId="9">
    <w:abstractNumId w:val="15"/>
  </w:num>
  <w:num w:numId="10">
    <w:abstractNumId w:val="14"/>
  </w:num>
  <w:num w:numId="11">
    <w:abstractNumId w:val="12"/>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9"/>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0"/>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5"/>
  </w:num>
  <w:num w:numId="31">
    <w:abstractNumId w:val="13"/>
  </w:num>
  <w:num w:numId="32">
    <w:abstractNumId w:val="21"/>
  </w:num>
  <w:num w:numId="33">
    <w:abstractNumId w:val="21"/>
  </w:num>
  <w:num w:numId="34">
    <w:abstractNumId w:val="18"/>
  </w:num>
  <w:num w:numId="35">
    <w:abstractNumId w:val="21"/>
  </w:num>
  <w:num w:numId="36">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5"/>
  </w:num>
  <w:num w:numId="38">
    <w:abstractNumId w:val="13"/>
  </w:num>
  <w:num w:numId="39">
    <w:abstractNumId w:val="16"/>
  </w:num>
  <w:num w:numId="40">
    <w:abstractNumId w:val="11"/>
  </w:num>
  <w:num w:numId="41">
    <w:abstractNumId w:val="21"/>
  </w:num>
  <w:num w:numId="42">
    <w:abstractNumId w:val="21"/>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9w2epsvaeafste225tptxe6ar9w2a5d0trf&quot;&gt;Sportscience_CitedRefs&lt;record-ids&gt;&lt;item&gt;1&lt;/item&gt;&lt;item&gt;2&lt;/item&gt;&lt;item&gt;3&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2FCD"/>
    <w:rsid w:val="00014433"/>
    <w:rsid w:val="00014CB0"/>
    <w:rsid w:val="00014E70"/>
    <w:rsid w:val="000157BB"/>
    <w:rsid w:val="00015822"/>
    <w:rsid w:val="000166E4"/>
    <w:rsid w:val="00017136"/>
    <w:rsid w:val="00020B8C"/>
    <w:rsid w:val="0002135C"/>
    <w:rsid w:val="00021C4F"/>
    <w:rsid w:val="00024025"/>
    <w:rsid w:val="0002466B"/>
    <w:rsid w:val="00026841"/>
    <w:rsid w:val="000274EF"/>
    <w:rsid w:val="0002774A"/>
    <w:rsid w:val="00027810"/>
    <w:rsid w:val="00027B59"/>
    <w:rsid w:val="00030297"/>
    <w:rsid w:val="000302C0"/>
    <w:rsid w:val="00031804"/>
    <w:rsid w:val="00031D51"/>
    <w:rsid w:val="00031FF1"/>
    <w:rsid w:val="00032106"/>
    <w:rsid w:val="00032378"/>
    <w:rsid w:val="0003314B"/>
    <w:rsid w:val="00033A6A"/>
    <w:rsid w:val="00033A73"/>
    <w:rsid w:val="00033E08"/>
    <w:rsid w:val="00033EBE"/>
    <w:rsid w:val="00033F45"/>
    <w:rsid w:val="0003412E"/>
    <w:rsid w:val="0003427A"/>
    <w:rsid w:val="000350E9"/>
    <w:rsid w:val="00035778"/>
    <w:rsid w:val="00035A61"/>
    <w:rsid w:val="0003609C"/>
    <w:rsid w:val="000377E4"/>
    <w:rsid w:val="00037965"/>
    <w:rsid w:val="00037A5D"/>
    <w:rsid w:val="00037A9B"/>
    <w:rsid w:val="00040CD0"/>
    <w:rsid w:val="0004119B"/>
    <w:rsid w:val="0004248B"/>
    <w:rsid w:val="00042C28"/>
    <w:rsid w:val="00043C36"/>
    <w:rsid w:val="00044B6E"/>
    <w:rsid w:val="00045AA6"/>
    <w:rsid w:val="00047366"/>
    <w:rsid w:val="000473C9"/>
    <w:rsid w:val="00047C35"/>
    <w:rsid w:val="00047FB3"/>
    <w:rsid w:val="00050170"/>
    <w:rsid w:val="000510BE"/>
    <w:rsid w:val="000510CF"/>
    <w:rsid w:val="000521B5"/>
    <w:rsid w:val="000523F0"/>
    <w:rsid w:val="0005257A"/>
    <w:rsid w:val="0005282F"/>
    <w:rsid w:val="00052D2A"/>
    <w:rsid w:val="00052EB1"/>
    <w:rsid w:val="00053A92"/>
    <w:rsid w:val="00053CD9"/>
    <w:rsid w:val="00053D33"/>
    <w:rsid w:val="000543F4"/>
    <w:rsid w:val="000554DB"/>
    <w:rsid w:val="00055C44"/>
    <w:rsid w:val="00055D62"/>
    <w:rsid w:val="00056AF0"/>
    <w:rsid w:val="00057707"/>
    <w:rsid w:val="00057805"/>
    <w:rsid w:val="00060068"/>
    <w:rsid w:val="000602C2"/>
    <w:rsid w:val="00060401"/>
    <w:rsid w:val="00060890"/>
    <w:rsid w:val="00061171"/>
    <w:rsid w:val="000612E4"/>
    <w:rsid w:val="000617F5"/>
    <w:rsid w:val="00061817"/>
    <w:rsid w:val="00061AB8"/>
    <w:rsid w:val="00061BF5"/>
    <w:rsid w:val="00063089"/>
    <w:rsid w:val="000639AE"/>
    <w:rsid w:val="0006420B"/>
    <w:rsid w:val="00064864"/>
    <w:rsid w:val="000648E1"/>
    <w:rsid w:val="00064B4C"/>
    <w:rsid w:val="00065215"/>
    <w:rsid w:val="00065420"/>
    <w:rsid w:val="00066CE4"/>
    <w:rsid w:val="00066D65"/>
    <w:rsid w:val="00067753"/>
    <w:rsid w:val="000677B0"/>
    <w:rsid w:val="00067AB3"/>
    <w:rsid w:val="000703D8"/>
    <w:rsid w:val="00070F11"/>
    <w:rsid w:val="000711F2"/>
    <w:rsid w:val="0007126C"/>
    <w:rsid w:val="00072960"/>
    <w:rsid w:val="00073250"/>
    <w:rsid w:val="000733D0"/>
    <w:rsid w:val="00074DFD"/>
    <w:rsid w:val="00075599"/>
    <w:rsid w:val="00075D21"/>
    <w:rsid w:val="000769D3"/>
    <w:rsid w:val="00077A40"/>
    <w:rsid w:val="000805E0"/>
    <w:rsid w:val="00080E89"/>
    <w:rsid w:val="00081226"/>
    <w:rsid w:val="00081B47"/>
    <w:rsid w:val="00082747"/>
    <w:rsid w:val="000827F4"/>
    <w:rsid w:val="00083312"/>
    <w:rsid w:val="00083716"/>
    <w:rsid w:val="0008445F"/>
    <w:rsid w:val="00086E0B"/>
    <w:rsid w:val="00087F20"/>
    <w:rsid w:val="000905DD"/>
    <w:rsid w:val="00090D5B"/>
    <w:rsid w:val="00092506"/>
    <w:rsid w:val="00092836"/>
    <w:rsid w:val="00093B68"/>
    <w:rsid w:val="00094978"/>
    <w:rsid w:val="00094F93"/>
    <w:rsid w:val="000953DA"/>
    <w:rsid w:val="00095F09"/>
    <w:rsid w:val="00096136"/>
    <w:rsid w:val="00096D67"/>
    <w:rsid w:val="00096F71"/>
    <w:rsid w:val="000975FD"/>
    <w:rsid w:val="00097EF4"/>
    <w:rsid w:val="000A018B"/>
    <w:rsid w:val="000A25CE"/>
    <w:rsid w:val="000A27A6"/>
    <w:rsid w:val="000A2B2F"/>
    <w:rsid w:val="000A31D3"/>
    <w:rsid w:val="000A3D45"/>
    <w:rsid w:val="000A453F"/>
    <w:rsid w:val="000A4A45"/>
    <w:rsid w:val="000A4D49"/>
    <w:rsid w:val="000A5620"/>
    <w:rsid w:val="000A628B"/>
    <w:rsid w:val="000A65BA"/>
    <w:rsid w:val="000A6C4A"/>
    <w:rsid w:val="000A6F98"/>
    <w:rsid w:val="000B00A7"/>
    <w:rsid w:val="000B082D"/>
    <w:rsid w:val="000B0CB6"/>
    <w:rsid w:val="000B1735"/>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B7AAB"/>
    <w:rsid w:val="000C00C0"/>
    <w:rsid w:val="000C06A3"/>
    <w:rsid w:val="000C1117"/>
    <w:rsid w:val="000C19B7"/>
    <w:rsid w:val="000C1C24"/>
    <w:rsid w:val="000C32ED"/>
    <w:rsid w:val="000C4290"/>
    <w:rsid w:val="000C4500"/>
    <w:rsid w:val="000C5AFB"/>
    <w:rsid w:val="000C674A"/>
    <w:rsid w:val="000C6EE6"/>
    <w:rsid w:val="000C72C4"/>
    <w:rsid w:val="000C7D9F"/>
    <w:rsid w:val="000D0050"/>
    <w:rsid w:val="000D00DE"/>
    <w:rsid w:val="000D07EA"/>
    <w:rsid w:val="000D0B5D"/>
    <w:rsid w:val="000D0BB3"/>
    <w:rsid w:val="000D1541"/>
    <w:rsid w:val="000D1AF1"/>
    <w:rsid w:val="000D1B3C"/>
    <w:rsid w:val="000D1DB1"/>
    <w:rsid w:val="000D1DE7"/>
    <w:rsid w:val="000D2843"/>
    <w:rsid w:val="000D2AC0"/>
    <w:rsid w:val="000D2DAF"/>
    <w:rsid w:val="000D3E15"/>
    <w:rsid w:val="000D4B8C"/>
    <w:rsid w:val="000D52FE"/>
    <w:rsid w:val="000D5486"/>
    <w:rsid w:val="000D57CD"/>
    <w:rsid w:val="000D7154"/>
    <w:rsid w:val="000D72B8"/>
    <w:rsid w:val="000D7780"/>
    <w:rsid w:val="000D7B70"/>
    <w:rsid w:val="000D7E2E"/>
    <w:rsid w:val="000E022F"/>
    <w:rsid w:val="000E03E5"/>
    <w:rsid w:val="000E0A27"/>
    <w:rsid w:val="000E1906"/>
    <w:rsid w:val="000E1948"/>
    <w:rsid w:val="000E237A"/>
    <w:rsid w:val="000E2F3F"/>
    <w:rsid w:val="000E3505"/>
    <w:rsid w:val="000E39C5"/>
    <w:rsid w:val="000E3DEA"/>
    <w:rsid w:val="000E4972"/>
    <w:rsid w:val="000E4E85"/>
    <w:rsid w:val="000E5760"/>
    <w:rsid w:val="000E6917"/>
    <w:rsid w:val="000E7263"/>
    <w:rsid w:val="000E750A"/>
    <w:rsid w:val="000F02F0"/>
    <w:rsid w:val="000F0614"/>
    <w:rsid w:val="000F0A7B"/>
    <w:rsid w:val="000F1665"/>
    <w:rsid w:val="000F20F1"/>
    <w:rsid w:val="000F2DDB"/>
    <w:rsid w:val="000F389C"/>
    <w:rsid w:val="000F419A"/>
    <w:rsid w:val="000F44C0"/>
    <w:rsid w:val="000F4631"/>
    <w:rsid w:val="000F5B61"/>
    <w:rsid w:val="000F6D0F"/>
    <w:rsid w:val="000F7900"/>
    <w:rsid w:val="000F7CA9"/>
    <w:rsid w:val="000F7F1C"/>
    <w:rsid w:val="0010089A"/>
    <w:rsid w:val="001016B4"/>
    <w:rsid w:val="00101B44"/>
    <w:rsid w:val="00102977"/>
    <w:rsid w:val="001036E9"/>
    <w:rsid w:val="00103A64"/>
    <w:rsid w:val="00103CCD"/>
    <w:rsid w:val="0010405C"/>
    <w:rsid w:val="001049E9"/>
    <w:rsid w:val="00104EA0"/>
    <w:rsid w:val="00105290"/>
    <w:rsid w:val="00105DC5"/>
    <w:rsid w:val="0010607F"/>
    <w:rsid w:val="00106585"/>
    <w:rsid w:val="001078D1"/>
    <w:rsid w:val="00107B74"/>
    <w:rsid w:val="001104A1"/>
    <w:rsid w:val="00110AFF"/>
    <w:rsid w:val="00110B5D"/>
    <w:rsid w:val="001111A9"/>
    <w:rsid w:val="0011260C"/>
    <w:rsid w:val="00113A4F"/>
    <w:rsid w:val="001147EB"/>
    <w:rsid w:val="00114BA9"/>
    <w:rsid w:val="00114EEF"/>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292"/>
    <w:rsid w:val="00124397"/>
    <w:rsid w:val="00124FF0"/>
    <w:rsid w:val="00125421"/>
    <w:rsid w:val="00126387"/>
    <w:rsid w:val="0012672D"/>
    <w:rsid w:val="00127B63"/>
    <w:rsid w:val="00127BBF"/>
    <w:rsid w:val="00130314"/>
    <w:rsid w:val="001330CF"/>
    <w:rsid w:val="0013323C"/>
    <w:rsid w:val="001350AD"/>
    <w:rsid w:val="00135AA4"/>
    <w:rsid w:val="0013673F"/>
    <w:rsid w:val="00136E88"/>
    <w:rsid w:val="00137671"/>
    <w:rsid w:val="00137987"/>
    <w:rsid w:val="00137A61"/>
    <w:rsid w:val="00137E61"/>
    <w:rsid w:val="0014066E"/>
    <w:rsid w:val="00140F44"/>
    <w:rsid w:val="0014104B"/>
    <w:rsid w:val="00141706"/>
    <w:rsid w:val="00141CC6"/>
    <w:rsid w:val="00142123"/>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3DB"/>
    <w:rsid w:val="00151876"/>
    <w:rsid w:val="00151AA7"/>
    <w:rsid w:val="00151C20"/>
    <w:rsid w:val="00151FD4"/>
    <w:rsid w:val="00152C8A"/>
    <w:rsid w:val="0015315B"/>
    <w:rsid w:val="00153173"/>
    <w:rsid w:val="00153A2D"/>
    <w:rsid w:val="00154507"/>
    <w:rsid w:val="001545DF"/>
    <w:rsid w:val="001547DC"/>
    <w:rsid w:val="001548D3"/>
    <w:rsid w:val="00154D39"/>
    <w:rsid w:val="00155A94"/>
    <w:rsid w:val="0015684D"/>
    <w:rsid w:val="00156906"/>
    <w:rsid w:val="001572D3"/>
    <w:rsid w:val="001575C8"/>
    <w:rsid w:val="00157797"/>
    <w:rsid w:val="0015798C"/>
    <w:rsid w:val="00157CD0"/>
    <w:rsid w:val="00157EC0"/>
    <w:rsid w:val="001606D4"/>
    <w:rsid w:val="00160C7F"/>
    <w:rsid w:val="00160CED"/>
    <w:rsid w:val="001611BF"/>
    <w:rsid w:val="00161A63"/>
    <w:rsid w:val="001622BE"/>
    <w:rsid w:val="001631BB"/>
    <w:rsid w:val="00163E47"/>
    <w:rsid w:val="00163F16"/>
    <w:rsid w:val="00165061"/>
    <w:rsid w:val="0016514E"/>
    <w:rsid w:val="001657BC"/>
    <w:rsid w:val="00166745"/>
    <w:rsid w:val="0016744C"/>
    <w:rsid w:val="00167AC4"/>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40E"/>
    <w:rsid w:val="00191E41"/>
    <w:rsid w:val="00191FBE"/>
    <w:rsid w:val="00192353"/>
    <w:rsid w:val="0019326F"/>
    <w:rsid w:val="001944DC"/>
    <w:rsid w:val="00194AF4"/>
    <w:rsid w:val="0019519F"/>
    <w:rsid w:val="00195D01"/>
    <w:rsid w:val="001966F2"/>
    <w:rsid w:val="00196BE3"/>
    <w:rsid w:val="0019791E"/>
    <w:rsid w:val="00197CE7"/>
    <w:rsid w:val="00197F40"/>
    <w:rsid w:val="001A099B"/>
    <w:rsid w:val="001A1749"/>
    <w:rsid w:val="001A2527"/>
    <w:rsid w:val="001A3CD9"/>
    <w:rsid w:val="001A3F2C"/>
    <w:rsid w:val="001A40C8"/>
    <w:rsid w:val="001A58ED"/>
    <w:rsid w:val="001A6A3A"/>
    <w:rsid w:val="001A73EC"/>
    <w:rsid w:val="001B088D"/>
    <w:rsid w:val="001B1EDE"/>
    <w:rsid w:val="001B2031"/>
    <w:rsid w:val="001B23B6"/>
    <w:rsid w:val="001B287D"/>
    <w:rsid w:val="001B2B41"/>
    <w:rsid w:val="001B3088"/>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3EDA"/>
    <w:rsid w:val="001C5766"/>
    <w:rsid w:val="001C5F03"/>
    <w:rsid w:val="001C6928"/>
    <w:rsid w:val="001C6FAF"/>
    <w:rsid w:val="001C71DF"/>
    <w:rsid w:val="001C7BC4"/>
    <w:rsid w:val="001D0A03"/>
    <w:rsid w:val="001D0CC1"/>
    <w:rsid w:val="001D194B"/>
    <w:rsid w:val="001D19C4"/>
    <w:rsid w:val="001D1F65"/>
    <w:rsid w:val="001D242A"/>
    <w:rsid w:val="001D2820"/>
    <w:rsid w:val="001D3397"/>
    <w:rsid w:val="001D34A2"/>
    <w:rsid w:val="001D3F67"/>
    <w:rsid w:val="001D4928"/>
    <w:rsid w:val="001D5B79"/>
    <w:rsid w:val="001D5DE8"/>
    <w:rsid w:val="001D63ED"/>
    <w:rsid w:val="001D71BD"/>
    <w:rsid w:val="001D750E"/>
    <w:rsid w:val="001E0B53"/>
    <w:rsid w:val="001E1661"/>
    <w:rsid w:val="001E1CA9"/>
    <w:rsid w:val="001E1E6C"/>
    <w:rsid w:val="001E271D"/>
    <w:rsid w:val="001E2776"/>
    <w:rsid w:val="001E2805"/>
    <w:rsid w:val="001E3038"/>
    <w:rsid w:val="001E356B"/>
    <w:rsid w:val="001E3734"/>
    <w:rsid w:val="001E3E87"/>
    <w:rsid w:val="001E46E2"/>
    <w:rsid w:val="001E5C67"/>
    <w:rsid w:val="001E60D5"/>
    <w:rsid w:val="001E61F1"/>
    <w:rsid w:val="001E725B"/>
    <w:rsid w:val="001E775A"/>
    <w:rsid w:val="001E7A67"/>
    <w:rsid w:val="001F0247"/>
    <w:rsid w:val="001F037E"/>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49A"/>
    <w:rsid w:val="002004E2"/>
    <w:rsid w:val="00200847"/>
    <w:rsid w:val="00200B04"/>
    <w:rsid w:val="00201E26"/>
    <w:rsid w:val="0020252E"/>
    <w:rsid w:val="00202709"/>
    <w:rsid w:val="00202A2A"/>
    <w:rsid w:val="00203F7E"/>
    <w:rsid w:val="00204B8D"/>
    <w:rsid w:val="0020564E"/>
    <w:rsid w:val="00205803"/>
    <w:rsid w:val="00205887"/>
    <w:rsid w:val="00205A5C"/>
    <w:rsid w:val="00206207"/>
    <w:rsid w:val="00206255"/>
    <w:rsid w:val="00206523"/>
    <w:rsid w:val="00207241"/>
    <w:rsid w:val="00207279"/>
    <w:rsid w:val="0020742D"/>
    <w:rsid w:val="00207A88"/>
    <w:rsid w:val="00210C04"/>
    <w:rsid w:val="00210D5C"/>
    <w:rsid w:val="00210E4A"/>
    <w:rsid w:val="00213EC4"/>
    <w:rsid w:val="0021441B"/>
    <w:rsid w:val="002158D3"/>
    <w:rsid w:val="00215947"/>
    <w:rsid w:val="00216C20"/>
    <w:rsid w:val="00217031"/>
    <w:rsid w:val="002170FA"/>
    <w:rsid w:val="0021714E"/>
    <w:rsid w:val="00217241"/>
    <w:rsid w:val="0022116B"/>
    <w:rsid w:val="00221756"/>
    <w:rsid w:val="00221A93"/>
    <w:rsid w:val="002234DF"/>
    <w:rsid w:val="00223F44"/>
    <w:rsid w:val="00223FE7"/>
    <w:rsid w:val="002246AF"/>
    <w:rsid w:val="00224A2D"/>
    <w:rsid w:val="00224AB3"/>
    <w:rsid w:val="00224ED2"/>
    <w:rsid w:val="00225534"/>
    <w:rsid w:val="002257CA"/>
    <w:rsid w:val="00225A66"/>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1200"/>
    <w:rsid w:val="0024161E"/>
    <w:rsid w:val="0024197F"/>
    <w:rsid w:val="00241AA5"/>
    <w:rsid w:val="00241CD8"/>
    <w:rsid w:val="00241D42"/>
    <w:rsid w:val="0024298F"/>
    <w:rsid w:val="002442EC"/>
    <w:rsid w:val="00246291"/>
    <w:rsid w:val="002466EA"/>
    <w:rsid w:val="00247250"/>
    <w:rsid w:val="002474E9"/>
    <w:rsid w:val="0024752B"/>
    <w:rsid w:val="00247711"/>
    <w:rsid w:val="00247738"/>
    <w:rsid w:val="00247AC3"/>
    <w:rsid w:val="00247C04"/>
    <w:rsid w:val="002502B2"/>
    <w:rsid w:val="002520C1"/>
    <w:rsid w:val="00252153"/>
    <w:rsid w:val="002527BD"/>
    <w:rsid w:val="002528EB"/>
    <w:rsid w:val="00253B62"/>
    <w:rsid w:val="0025465D"/>
    <w:rsid w:val="002555DD"/>
    <w:rsid w:val="0025563D"/>
    <w:rsid w:val="0025578A"/>
    <w:rsid w:val="002561FF"/>
    <w:rsid w:val="00256F00"/>
    <w:rsid w:val="0026064B"/>
    <w:rsid w:val="00261E0B"/>
    <w:rsid w:val="002639A0"/>
    <w:rsid w:val="002643CA"/>
    <w:rsid w:val="00264595"/>
    <w:rsid w:val="002645DF"/>
    <w:rsid w:val="00264B15"/>
    <w:rsid w:val="00264E1F"/>
    <w:rsid w:val="00264FA1"/>
    <w:rsid w:val="0026548B"/>
    <w:rsid w:val="0026573C"/>
    <w:rsid w:val="00265C89"/>
    <w:rsid w:val="00266E55"/>
    <w:rsid w:val="00267019"/>
    <w:rsid w:val="00267D35"/>
    <w:rsid w:val="00271481"/>
    <w:rsid w:val="0027174C"/>
    <w:rsid w:val="00271E47"/>
    <w:rsid w:val="00272ACF"/>
    <w:rsid w:val="002734FC"/>
    <w:rsid w:val="002735CE"/>
    <w:rsid w:val="002736BD"/>
    <w:rsid w:val="00273AE0"/>
    <w:rsid w:val="002744F7"/>
    <w:rsid w:val="002754B5"/>
    <w:rsid w:val="002764A4"/>
    <w:rsid w:val="002765A8"/>
    <w:rsid w:val="0027683D"/>
    <w:rsid w:val="00276B82"/>
    <w:rsid w:val="00276BC2"/>
    <w:rsid w:val="002776C9"/>
    <w:rsid w:val="00277893"/>
    <w:rsid w:val="00277C0E"/>
    <w:rsid w:val="00277E49"/>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3F4"/>
    <w:rsid w:val="002946C8"/>
    <w:rsid w:val="00296EBB"/>
    <w:rsid w:val="002A0258"/>
    <w:rsid w:val="002A04BA"/>
    <w:rsid w:val="002A10CD"/>
    <w:rsid w:val="002A1E96"/>
    <w:rsid w:val="002A1F19"/>
    <w:rsid w:val="002A1F9B"/>
    <w:rsid w:val="002A3899"/>
    <w:rsid w:val="002A6900"/>
    <w:rsid w:val="002A6AEC"/>
    <w:rsid w:val="002A726D"/>
    <w:rsid w:val="002A7306"/>
    <w:rsid w:val="002A7500"/>
    <w:rsid w:val="002A7BF3"/>
    <w:rsid w:val="002A7F5A"/>
    <w:rsid w:val="002B1EA4"/>
    <w:rsid w:val="002B2C85"/>
    <w:rsid w:val="002B343B"/>
    <w:rsid w:val="002B3517"/>
    <w:rsid w:val="002B3B9F"/>
    <w:rsid w:val="002B4BEC"/>
    <w:rsid w:val="002B53C4"/>
    <w:rsid w:val="002B59A1"/>
    <w:rsid w:val="002B699E"/>
    <w:rsid w:val="002B6BF9"/>
    <w:rsid w:val="002B6DFD"/>
    <w:rsid w:val="002B7254"/>
    <w:rsid w:val="002B7822"/>
    <w:rsid w:val="002B7C6D"/>
    <w:rsid w:val="002C0442"/>
    <w:rsid w:val="002C1066"/>
    <w:rsid w:val="002C1EC6"/>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74FB"/>
    <w:rsid w:val="002D7AF8"/>
    <w:rsid w:val="002E0449"/>
    <w:rsid w:val="002E0D05"/>
    <w:rsid w:val="002E17AE"/>
    <w:rsid w:val="002E1C62"/>
    <w:rsid w:val="002E24FE"/>
    <w:rsid w:val="002E251B"/>
    <w:rsid w:val="002E26A9"/>
    <w:rsid w:val="002E3107"/>
    <w:rsid w:val="002E3516"/>
    <w:rsid w:val="002E3813"/>
    <w:rsid w:val="002E3A22"/>
    <w:rsid w:val="002E3D6D"/>
    <w:rsid w:val="002E3FF0"/>
    <w:rsid w:val="002E5E3E"/>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7BC"/>
    <w:rsid w:val="002F5843"/>
    <w:rsid w:val="002F622A"/>
    <w:rsid w:val="002F6A5E"/>
    <w:rsid w:val="002F6F03"/>
    <w:rsid w:val="002F7B82"/>
    <w:rsid w:val="00300A2C"/>
    <w:rsid w:val="00301E3F"/>
    <w:rsid w:val="00302780"/>
    <w:rsid w:val="00302AF7"/>
    <w:rsid w:val="00302B6E"/>
    <w:rsid w:val="00302C9E"/>
    <w:rsid w:val="00302D5E"/>
    <w:rsid w:val="0030325D"/>
    <w:rsid w:val="003037DE"/>
    <w:rsid w:val="00303986"/>
    <w:rsid w:val="003039EB"/>
    <w:rsid w:val="00304036"/>
    <w:rsid w:val="003059C0"/>
    <w:rsid w:val="0030788F"/>
    <w:rsid w:val="00310332"/>
    <w:rsid w:val="00310716"/>
    <w:rsid w:val="00310A24"/>
    <w:rsid w:val="003128D6"/>
    <w:rsid w:val="00312FCC"/>
    <w:rsid w:val="003138E3"/>
    <w:rsid w:val="00314024"/>
    <w:rsid w:val="00314933"/>
    <w:rsid w:val="00314BF6"/>
    <w:rsid w:val="00315C6A"/>
    <w:rsid w:val="00316632"/>
    <w:rsid w:val="0031684D"/>
    <w:rsid w:val="003171A7"/>
    <w:rsid w:val="00317737"/>
    <w:rsid w:val="00320179"/>
    <w:rsid w:val="0032024E"/>
    <w:rsid w:val="00320880"/>
    <w:rsid w:val="00320D10"/>
    <w:rsid w:val="003221A1"/>
    <w:rsid w:val="003224A3"/>
    <w:rsid w:val="003229A6"/>
    <w:rsid w:val="003233A4"/>
    <w:rsid w:val="003233E4"/>
    <w:rsid w:val="0032465A"/>
    <w:rsid w:val="00324E49"/>
    <w:rsid w:val="00324F0D"/>
    <w:rsid w:val="0032592B"/>
    <w:rsid w:val="00326445"/>
    <w:rsid w:val="0032718D"/>
    <w:rsid w:val="0032743D"/>
    <w:rsid w:val="00327503"/>
    <w:rsid w:val="00327B34"/>
    <w:rsid w:val="00330284"/>
    <w:rsid w:val="00330369"/>
    <w:rsid w:val="00330A6E"/>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7411"/>
    <w:rsid w:val="003575F1"/>
    <w:rsid w:val="003579FD"/>
    <w:rsid w:val="00357B6A"/>
    <w:rsid w:val="00357EB3"/>
    <w:rsid w:val="00360B23"/>
    <w:rsid w:val="00361239"/>
    <w:rsid w:val="0036179D"/>
    <w:rsid w:val="003617A0"/>
    <w:rsid w:val="0036180F"/>
    <w:rsid w:val="00361B66"/>
    <w:rsid w:val="00361D48"/>
    <w:rsid w:val="003621CF"/>
    <w:rsid w:val="00362D99"/>
    <w:rsid w:val="003634A7"/>
    <w:rsid w:val="00363936"/>
    <w:rsid w:val="00363FD4"/>
    <w:rsid w:val="0036440D"/>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7B7"/>
    <w:rsid w:val="00374942"/>
    <w:rsid w:val="003749B9"/>
    <w:rsid w:val="00375319"/>
    <w:rsid w:val="00375A05"/>
    <w:rsid w:val="00375D8D"/>
    <w:rsid w:val="00376D1F"/>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2D87"/>
    <w:rsid w:val="00393155"/>
    <w:rsid w:val="00393ECC"/>
    <w:rsid w:val="00394846"/>
    <w:rsid w:val="003951B5"/>
    <w:rsid w:val="003962E9"/>
    <w:rsid w:val="00396FF9"/>
    <w:rsid w:val="003A0449"/>
    <w:rsid w:val="003A260C"/>
    <w:rsid w:val="003A2FD0"/>
    <w:rsid w:val="003A3A3E"/>
    <w:rsid w:val="003A5CC2"/>
    <w:rsid w:val="003A60A0"/>
    <w:rsid w:val="003A71F7"/>
    <w:rsid w:val="003A722C"/>
    <w:rsid w:val="003A7420"/>
    <w:rsid w:val="003A7729"/>
    <w:rsid w:val="003A779A"/>
    <w:rsid w:val="003B0050"/>
    <w:rsid w:val="003B07E8"/>
    <w:rsid w:val="003B0EDA"/>
    <w:rsid w:val="003B133B"/>
    <w:rsid w:val="003B1A97"/>
    <w:rsid w:val="003B2767"/>
    <w:rsid w:val="003B3256"/>
    <w:rsid w:val="003B38CA"/>
    <w:rsid w:val="003B4014"/>
    <w:rsid w:val="003B4402"/>
    <w:rsid w:val="003B4781"/>
    <w:rsid w:val="003B48EC"/>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06C"/>
    <w:rsid w:val="003C663C"/>
    <w:rsid w:val="003C6AD0"/>
    <w:rsid w:val="003C7486"/>
    <w:rsid w:val="003C748F"/>
    <w:rsid w:val="003C7A6C"/>
    <w:rsid w:val="003D0784"/>
    <w:rsid w:val="003D20E0"/>
    <w:rsid w:val="003D385E"/>
    <w:rsid w:val="003D3A81"/>
    <w:rsid w:val="003D3E88"/>
    <w:rsid w:val="003D49F2"/>
    <w:rsid w:val="003D4EDF"/>
    <w:rsid w:val="003D5C4B"/>
    <w:rsid w:val="003D6522"/>
    <w:rsid w:val="003D65D1"/>
    <w:rsid w:val="003D660D"/>
    <w:rsid w:val="003D6AF5"/>
    <w:rsid w:val="003D70B6"/>
    <w:rsid w:val="003E0876"/>
    <w:rsid w:val="003E0E6A"/>
    <w:rsid w:val="003E0F2E"/>
    <w:rsid w:val="003E0FDE"/>
    <w:rsid w:val="003E1A6C"/>
    <w:rsid w:val="003E1CC6"/>
    <w:rsid w:val="003E214F"/>
    <w:rsid w:val="003E35EF"/>
    <w:rsid w:val="003E45FD"/>
    <w:rsid w:val="003E4BA9"/>
    <w:rsid w:val="003E52C1"/>
    <w:rsid w:val="003E536C"/>
    <w:rsid w:val="003E5819"/>
    <w:rsid w:val="003E5928"/>
    <w:rsid w:val="003E59BF"/>
    <w:rsid w:val="003E763E"/>
    <w:rsid w:val="003E7833"/>
    <w:rsid w:val="003E7893"/>
    <w:rsid w:val="003F0316"/>
    <w:rsid w:val="003F04D3"/>
    <w:rsid w:val="003F0CE8"/>
    <w:rsid w:val="003F0CEF"/>
    <w:rsid w:val="003F1356"/>
    <w:rsid w:val="003F2AA1"/>
    <w:rsid w:val="003F3287"/>
    <w:rsid w:val="003F4A48"/>
    <w:rsid w:val="003F4CE3"/>
    <w:rsid w:val="003F4EA5"/>
    <w:rsid w:val="003F5005"/>
    <w:rsid w:val="003F5215"/>
    <w:rsid w:val="003F5516"/>
    <w:rsid w:val="003F5BEB"/>
    <w:rsid w:val="003F6DAA"/>
    <w:rsid w:val="003F6E29"/>
    <w:rsid w:val="003F7185"/>
    <w:rsid w:val="003F78DE"/>
    <w:rsid w:val="003F7C63"/>
    <w:rsid w:val="00400329"/>
    <w:rsid w:val="004008FC"/>
    <w:rsid w:val="00401FCB"/>
    <w:rsid w:val="00402A32"/>
    <w:rsid w:val="00403287"/>
    <w:rsid w:val="00403776"/>
    <w:rsid w:val="004038D5"/>
    <w:rsid w:val="00404E45"/>
    <w:rsid w:val="0040525E"/>
    <w:rsid w:val="004052BE"/>
    <w:rsid w:val="00405A0E"/>
    <w:rsid w:val="00405F40"/>
    <w:rsid w:val="004066C6"/>
    <w:rsid w:val="00406745"/>
    <w:rsid w:val="004102E0"/>
    <w:rsid w:val="00412BC5"/>
    <w:rsid w:val="00414753"/>
    <w:rsid w:val="00415408"/>
    <w:rsid w:val="0041569D"/>
    <w:rsid w:val="00415903"/>
    <w:rsid w:val="00415E79"/>
    <w:rsid w:val="00415F3D"/>
    <w:rsid w:val="0041627B"/>
    <w:rsid w:val="00416365"/>
    <w:rsid w:val="00416EA2"/>
    <w:rsid w:val="0041737E"/>
    <w:rsid w:val="00417452"/>
    <w:rsid w:val="004201EB"/>
    <w:rsid w:val="00422E1E"/>
    <w:rsid w:val="004239D9"/>
    <w:rsid w:val="00423BE3"/>
    <w:rsid w:val="00424AE5"/>
    <w:rsid w:val="00424B8D"/>
    <w:rsid w:val="00424CC0"/>
    <w:rsid w:val="00424F68"/>
    <w:rsid w:val="004250DB"/>
    <w:rsid w:val="00425775"/>
    <w:rsid w:val="004258D0"/>
    <w:rsid w:val="00425E77"/>
    <w:rsid w:val="0042635A"/>
    <w:rsid w:val="00426AB7"/>
    <w:rsid w:val="00426B4D"/>
    <w:rsid w:val="004271F1"/>
    <w:rsid w:val="0042722F"/>
    <w:rsid w:val="004273F1"/>
    <w:rsid w:val="00427B2C"/>
    <w:rsid w:val="0043099E"/>
    <w:rsid w:val="00430B7E"/>
    <w:rsid w:val="00430C91"/>
    <w:rsid w:val="00430CE9"/>
    <w:rsid w:val="00430DDC"/>
    <w:rsid w:val="00431B97"/>
    <w:rsid w:val="00431EC7"/>
    <w:rsid w:val="00432B06"/>
    <w:rsid w:val="0043411E"/>
    <w:rsid w:val="004350DA"/>
    <w:rsid w:val="004350F3"/>
    <w:rsid w:val="00435D7C"/>
    <w:rsid w:val="00436225"/>
    <w:rsid w:val="00436A90"/>
    <w:rsid w:val="00436C22"/>
    <w:rsid w:val="00440B9E"/>
    <w:rsid w:val="004417F6"/>
    <w:rsid w:val="00441A69"/>
    <w:rsid w:val="00441AC2"/>
    <w:rsid w:val="00441C5D"/>
    <w:rsid w:val="004420C2"/>
    <w:rsid w:val="00442F2B"/>
    <w:rsid w:val="0044320B"/>
    <w:rsid w:val="004436FA"/>
    <w:rsid w:val="00443D24"/>
    <w:rsid w:val="004445ED"/>
    <w:rsid w:val="00444637"/>
    <w:rsid w:val="0044574C"/>
    <w:rsid w:val="00446715"/>
    <w:rsid w:val="00446BC1"/>
    <w:rsid w:val="004500EA"/>
    <w:rsid w:val="00450A4E"/>
    <w:rsid w:val="0045105C"/>
    <w:rsid w:val="004519C5"/>
    <w:rsid w:val="00451C68"/>
    <w:rsid w:val="00453754"/>
    <w:rsid w:val="00453832"/>
    <w:rsid w:val="00454C7B"/>
    <w:rsid w:val="00455BF6"/>
    <w:rsid w:val="00455E1B"/>
    <w:rsid w:val="00455E5E"/>
    <w:rsid w:val="00456B28"/>
    <w:rsid w:val="0046083D"/>
    <w:rsid w:val="004611A7"/>
    <w:rsid w:val="004614D0"/>
    <w:rsid w:val="004614FB"/>
    <w:rsid w:val="00462C23"/>
    <w:rsid w:val="00464414"/>
    <w:rsid w:val="0046492B"/>
    <w:rsid w:val="00465B1C"/>
    <w:rsid w:val="00466368"/>
    <w:rsid w:val="00467052"/>
    <w:rsid w:val="0046779D"/>
    <w:rsid w:val="00467D97"/>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2D1"/>
    <w:rsid w:val="00480657"/>
    <w:rsid w:val="00480714"/>
    <w:rsid w:val="00480976"/>
    <w:rsid w:val="00481430"/>
    <w:rsid w:val="0048188F"/>
    <w:rsid w:val="00482093"/>
    <w:rsid w:val="00482243"/>
    <w:rsid w:val="0048329F"/>
    <w:rsid w:val="00483899"/>
    <w:rsid w:val="00483B0E"/>
    <w:rsid w:val="00484129"/>
    <w:rsid w:val="00490365"/>
    <w:rsid w:val="00490B87"/>
    <w:rsid w:val="0049232F"/>
    <w:rsid w:val="004925C8"/>
    <w:rsid w:val="004926FB"/>
    <w:rsid w:val="00492719"/>
    <w:rsid w:val="00492F53"/>
    <w:rsid w:val="00493085"/>
    <w:rsid w:val="004935EA"/>
    <w:rsid w:val="00493DB5"/>
    <w:rsid w:val="00495B75"/>
    <w:rsid w:val="00495D7D"/>
    <w:rsid w:val="00495EB9"/>
    <w:rsid w:val="00497247"/>
    <w:rsid w:val="004A09F9"/>
    <w:rsid w:val="004A0B3D"/>
    <w:rsid w:val="004A128D"/>
    <w:rsid w:val="004A1394"/>
    <w:rsid w:val="004A1541"/>
    <w:rsid w:val="004A185B"/>
    <w:rsid w:val="004A1E54"/>
    <w:rsid w:val="004A1F90"/>
    <w:rsid w:val="004A3114"/>
    <w:rsid w:val="004A3170"/>
    <w:rsid w:val="004A345B"/>
    <w:rsid w:val="004A3735"/>
    <w:rsid w:val="004A3AC8"/>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C17"/>
    <w:rsid w:val="004B0D1E"/>
    <w:rsid w:val="004B1A2F"/>
    <w:rsid w:val="004B1C2A"/>
    <w:rsid w:val="004B204C"/>
    <w:rsid w:val="004B2234"/>
    <w:rsid w:val="004B2285"/>
    <w:rsid w:val="004B2A99"/>
    <w:rsid w:val="004B3433"/>
    <w:rsid w:val="004B3931"/>
    <w:rsid w:val="004B3CEA"/>
    <w:rsid w:val="004B4572"/>
    <w:rsid w:val="004B4657"/>
    <w:rsid w:val="004B4870"/>
    <w:rsid w:val="004B4C6D"/>
    <w:rsid w:val="004B5999"/>
    <w:rsid w:val="004B5A0B"/>
    <w:rsid w:val="004B661D"/>
    <w:rsid w:val="004B7734"/>
    <w:rsid w:val="004B7830"/>
    <w:rsid w:val="004B7BCB"/>
    <w:rsid w:val="004C0549"/>
    <w:rsid w:val="004C15EA"/>
    <w:rsid w:val="004C1718"/>
    <w:rsid w:val="004C18C2"/>
    <w:rsid w:val="004C257F"/>
    <w:rsid w:val="004C2F53"/>
    <w:rsid w:val="004C3256"/>
    <w:rsid w:val="004C42D1"/>
    <w:rsid w:val="004C4CC8"/>
    <w:rsid w:val="004C50F1"/>
    <w:rsid w:val="004C5E7A"/>
    <w:rsid w:val="004C5EFE"/>
    <w:rsid w:val="004C6008"/>
    <w:rsid w:val="004C626C"/>
    <w:rsid w:val="004C6D69"/>
    <w:rsid w:val="004C750C"/>
    <w:rsid w:val="004C7630"/>
    <w:rsid w:val="004C7D78"/>
    <w:rsid w:val="004C7E44"/>
    <w:rsid w:val="004C7E88"/>
    <w:rsid w:val="004D0725"/>
    <w:rsid w:val="004D1098"/>
    <w:rsid w:val="004D18BD"/>
    <w:rsid w:val="004D1D6F"/>
    <w:rsid w:val="004D216C"/>
    <w:rsid w:val="004D2371"/>
    <w:rsid w:val="004D2E03"/>
    <w:rsid w:val="004D3525"/>
    <w:rsid w:val="004D362D"/>
    <w:rsid w:val="004D3988"/>
    <w:rsid w:val="004D3B41"/>
    <w:rsid w:val="004D4061"/>
    <w:rsid w:val="004D4357"/>
    <w:rsid w:val="004D4841"/>
    <w:rsid w:val="004D5320"/>
    <w:rsid w:val="004D54F9"/>
    <w:rsid w:val="004D5A6D"/>
    <w:rsid w:val="004D5BA8"/>
    <w:rsid w:val="004D5E92"/>
    <w:rsid w:val="004E0747"/>
    <w:rsid w:val="004E0BA6"/>
    <w:rsid w:val="004E20D8"/>
    <w:rsid w:val="004E23D2"/>
    <w:rsid w:val="004E2425"/>
    <w:rsid w:val="004E26AD"/>
    <w:rsid w:val="004E41F6"/>
    <w:rsid w:val="004E4A7B"/>
    <w:rsid w:val="004E53D2"/>
    <w:rsid w:val="004E556D"/>
    <w:rsid w:val="004E67F7"/>
    <w:rsid w:val="004E6A34"/>
    <w:rsid w:val="004E70DB"/>
    <w:rsid w:val="004E7352"/>
    <w:rsid w:val="004F0236"/>
    <w:rsid w:val="004F0775"/>
    <w:rsid w:val="004F0A31"/>
    <w:rsid w:val="004F0FF6"/>
    <w:rsid w:val="004F1310"/>
    <w:rsid w:val="004F14C6"/>
    <w:rsid w:val="004F16C4"/>
    <w:rsid w:val="004F3B8D"/>
    <w:rsid w:val="004F4752"/>
    <w:rsid w:val="004F6B02"/>
    <w:rsid w:val="004F6BE2"/>
    <w:rsid w:val="00500497"/>
    <w:rsid w:val="00500899"/>
    <w:rsid w:val="005012AF"/>
    <w:rsid w:val="00502593"/>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4"/>
    <w:rsid w:val="00515C31"/>
    <w:rsid w:val="00516D28"/>
    <w:rsid w:val="005174C4"/>
    <w:rsid w:val="005175DC"/>
    <w:rsid w:val="005179A8"/>
    <w:rsid w:val="00517B0D"/>
    <w:rsid w:val="00520598"/>
    <w:rsid w:val="00520907"/>
    <w:rsid w:val="005213D9"/>
    <w:rsid w:val="00522078"/>
    <w:rsid w:val="0052211B"/>
    <w:rsid w:val="005224EB"/>
    <w:rsid w:val="005226E2"/>
    <w:rsid w:val="00522A64"/>
    <w:rsid w:val="00523110"/>
    <w:rsid w:val="005233CD"/>
    <w:rsid w:val="005235C5"/>
    <w:rsid w:val="005235DC"/>
    <w:rsid w:val="005239B6"/>
    <w:rsid w:val="00525137"/>
    <w:rsid w:val="00525B35"/>
    <w:rsid w:val="00526CDC"/>
    <w:rsid w:val="005275C0"/>
    <w:rsid w:val="00530373"/>
    <w:rsid w:val="005307B2"/>
    <w:rsid w:val="00530AA5"/>
    <w:rsid w:val="00530B70"/>
    <w:rsid w:val="00531908"/>
    <w:rsid w:val="00532A85"/>
    <w:rsid w:val="00532AC8"/>
    <w:rsid w:val="00533BDA"/>
    <w:rsid w:val="00534299"/>
    <w:rsid w:val="005354ED"/>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1DB"/>
    <w:rsid w:val="00553280"/>
    <w:rsid w:val="005535A7"/>
    <w:rsid w:val="00553B31"/>
    <w:rsid w:val="005547F7"/>
    <w:rsid w:val="00554AF1"/>
    <w:rsid w:val="00555253"/>
    <w:rsid w:val="00555D3E"/>
    <w:rsid w:val="00556216"/>
    <w:rsid w:val="00557AD0"/>
    <w:rsid w:val="00561E9D"/>
    <w:rsid w:val="005633AB"/>
    <w:rsid w:val="00563842"/>
    <w:rsid w:val="0056395F"/>
    <w:rsid w:val="00563D0E"/>
    <w:rsid w:val="005648CF"/>
    <w:rsid w:val="00565A25"/>
    <w:rsid w:val="00566023"/>
    <w:rsid w:val="00570010"/>
    <w:rsid w:val="005714FF"/>
    <w:rsid w:val="0057273B"/>
    <w:rsid w:val="00572E1B"/>
    <w:rsid w:val="005738C3"/>
    <w:rsid w:val="005750CF"/>
    <w:rsid w:val="005756E3"/>
    <w:rsid w:val="00575ADC"/>
    <w:rsid w:val="00575C0E"/>
    <w:rsid w:val="00575DEE"/>
    <w:rsid w:val="00575F68"/>
    <w:rsid w:val="00577528"/>
    <w:rsid w:val="005803DB"/>
    <w:rsid w:val="0058122A"/>
    <w:rsid w:val="00581FC7"/>
    <w:rsid w:val="0058210B"/>
    <w:rsid w:val="0058232B"/>
    <w:rsid w:val="00582D50"/>
    <w:rsid w:val="00583E57"/>
    <w:rsid w:val="005845DC"/>
    <w:rsid w:val="005849D1"/>
    <w:rsid w:val="00584E30"/>
    <w:rsid w:val="00585525"/>
    <w:rsid w:val="00585BA7"/>
    <w:rsid w:val="00586600"/>
    <w:rsid w:val="00587426"/>
    <w:rsid w:val="00590BD5"/>
    <w:rsid w:val="005919FA"/>
    <w:rsid w:val="005926D4"/>
    <w:rsid w:val="0059292C"/>
    <w:rsid w:val="005929EF"/>
    <w:rsid w:val="00592AEA"/>
    <w:rsid w:val="00592B70"/>
    <w:rsid w:val="00592DD3"/>
    <w:rsid w:val="005938A9"/>
    <w:rsid w:val="00594100"/>
    <w:rsid w:val="00595002"/>
    <w:rsid w:val="005958D5"/>
    <w:rsid w:val="00596769"/>
    <w:rsid w:val="0059693F"/>
    <w:rsid w:val="00596DDA"/>
    <w:rsid w:val="005978B4"/>
    <w:rsid w:val="00597FE4"/>
    <w:rsid w:val="005A0365"/>
    <w:rsid w:val="005A06AC"/>
    <w:rsid w:val="005A08C9"/>
    <w:rsid w:val="005A0C37"/>
    <w:rsid w:val="005A0D1D"/>
    <w:rsid w:val="005A1670"/>
    <w:rsid w:val="005A2EBC"/>
    <w:rsid w:val="005A4260"/>
    <w:rsid w:val="005A4B8D"/>
    <w:rsid w:val="005A53A9"/>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A14"/>
    <w:rsid w:val="005C0B34"/>
    <w:rsid w:val="005C138F"/>
    <w:rsid w:val="005C2CB2"/>
    <w:rsid w:val="005C42C4"/>
    <w:rsid w:val="005C45E9"/>
    <w:rsid w:val="005C5FD8"/>
    <w:rsid w:val="005C6937"/>
    <w:rsid w:val="005C6C5C"/>
    <w:rsid w:val="005C7093"/>
    <w:rsid w:val="005C7F7E"/>
    <w:rsid w:val="005D04E3"/>
    <w:rsid w:val="005D076E"/>
    <w:rsid w:val="005D0FE5"/>
    <w:rsid w:val="005D1299"/>
    <w:rsid w:val="005D1F25"/>
    <w:rsid w:val="005D2823"/>
    <w:rsid w:val="005D3606"/>
    <w:rsid w:val="005D3D42"/>
    <w:rsid w:val="005D3E68"/>
    <w:rsid w:val="005D3F88"/>
    <w:rsid w:val="005D4826"/>
    <w:rsid w:val="005D4C59"/>
    <w:rsid w:val="005D53F7"/>
    <w:rsid w:val="005D569B"/>
    <w:rsid w:val="005D6BDF"/>
    <w:rsid w:val="005D7547"/>
    <w:rsid w:val="005D7EBC"/>
    <w:rsid w:val="005E0854"/>
    <w:rsid w:val="005E124A"/>
    <w:rsid w:val="005E2061"/>
    <w:rsid w:val="005E300D"/>
    <w:rsid w:val="005E3913"/>
    <w:rsid w:val="005E39B2"/>
    <w:rsid w:val="005E4136"/>
    <w:rsid w:val="005E4295"/>
    <w:rsid w:val="005E495D"/>
    <w:rsid w:val="005E4BCB"/>
    <w:rsid w:val="005E551C"/>
    <w:rsid w:val="005E563B"/>
    <w:rsid w:val="005E6D13"/>
    <w:rsid w:val="005E7599"/>
    <w:rsid w:val="005E7606"/>
    <w:rsid w:val="005E7792"/>
    <w:rsid w:val="005E782B"/>
    <w:rsid w:val="005F0646"/>
    <w:rsid w:val="005F19EE"/>
    <w:rsid w:val="005F3807"/>
    <w:rsid w:val="005F38F8"/>
    <w:rsid w:val="005F5489"/>
    <w:rsid w:val="005F5EF6"/>
    <w:rsid w:val="005F62BB"/>
    <w:rsid w:val="005F7232"/>
    <w:rsid w:val="005F79EE"/>
    <w:rsid w:val="005F7AC5"/>
    <w:rsid w:val="00600827"/>
    <w:rsid w:val="0060085A"/>
    <w:rsid w:val="00600948"/>
    <w:rsid w:val="00600AB9"/>
    <w:rsid w:val="00600DC9"/>
    <w:rsid w:val="00601773"/>
    <w:rsid w:val="006021EA"/>
    <w:rsid w:val="006025F4"/>
    <w:rsid w:val="006028E7"/>
    <w:rsid w:val="0060297A"/>
    <w:rsid w:val="00603054"/>
    <w:rsid w:val="00603B04"/>
    <w:rsid w:val="00603C4A"/>
    <w:rsid w:val="00603D4B"/>
    <w:rsid w:val="006043AB"/>
    <w:rsid w:val="00605438"/>
    <w:rsid w:val="0060591C"/>
    <w:rsid w:val="00605A92"/>
    <w:rsid w:val="00606C3F"/>
    <w:rsid w:val="00606EDE"/>
    <w:rsid w:val="006109D5"/>
    <w:rsid w:val="00611878"/>
    <w:rsid w:val="00611AC1"/>
    <w:rsid w:val="00611CAA"/>
    <w:rsid w:val="006129D4"/>
    <w:rsid w:val="006132E2"/>
    <w:rsid w:val="00613A35"/>
    <w:rsid w:val="00613DD0"/>
    <w:rsid w:val="00614F42"/>
    <w:rsid w:val="00615614"/>
    <w:rsid w:val="0061566C"/>
    <w:rsid w:val="00615AFA"/>
    <w:rsid w:val="0061621A"/>
    <w:rsid w:val="00616630"/>
    <w:rsid w:val="006173DE"/>
    <w:rsid w:val="006178FF"/>
    <w:rsid w:val="00617DD0"/>
    <w:rsid w:val="00617E14"/>
    <w:rsid w:val="0062017A"/>
    <w:rsid w:val="00620269"/>
    <w:rsid w:val="00622611"/>
    <w:rsid w:val="00622E03"/>
    <w:rsid w:val="00623313"/>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602F"/>
    <w:rsid w:val="006360A4"/>
    <w:rsid w:val="006370A4"/>
    <w:rsid w:val="00640501"/>
    <w:rsid w:val="006405A5"/>
    <w:rsid w:val="006407D7"/>
    <w:rsid w:val="00640980"/>
    <w:rsid w:val="00640EA0"/>
    <w:rsid w:val="006413BA"/>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477ED"/>
    <w:rsid w:val="006510B9"/>
    <w:rsid w:val="00651B2B"/>
    <w:rsid w:val="006523FD"/>
    <w:rsid w:val="00652862"/>
    <w:rsid w:val="00652B94"/>
    <w:rsid w:val="006546BD"/>
    <w:rsid w:val="00654705"/>
    <w:rsid w:val="00655637"/>
    <w:rsid w:val="006566D2"/>
    <w:rsid w:val="00657527"/>
    <w:rsid w:val="00657DC4"/>
    <w:rsid w:val="00657F06"/>
    <w:rsid w:val="006619A7"/>
    <w:rsid w:val="00661E69"/>
    <w:rsid w:val="0066201E"/>
    <w:rsid w:val="006627D1"/>
    <w:rsid w:val="00662EAB"/>
    <w:rsid w:val="006639B9"/>
    <w:rsid w:val="00664C7B"/>
    <w:rsid w:val="00665559"/>
    <w:rsid w:val="0066603F"/>
    <w:rsid w:val="006668F9"/>
    <w:rsid w:val="00666C95"/>
    <w:rsid w:val="00667A21"/>
    <w:rsid w:val="0067012C"/>
    <w:rsid w:val="0067023F"/>
    <w:rsid w:val="00670803"/>
    <w:rsid w:val="00671AAB"/>
    <w:rsid w:val="0067262A"/>
    <w:rsid w:val="00672768"/>
    <w:rsid w:val="00672CDF"/>
    <w:rsid w:val="00673278"/>
    <w:rsid w:val="0067362E"/>
    <w:rsid w:val="00674024"/>
    <w:rsid w:val="006747A6"/>
    <w:rsid w:val="0067560E"/>
    <w:rsid w:val="00676489"/>
    <w:rsid w:val="00677000"/>
    <w:rsid w:val="006779EF"/>
    <w:rsid w:val="00681056"/>
    <w:rsid w:val="0068242E"/>
    <w:rsid w:val="006824A1"/>
    <w:rsid w:val="00683297"/>
    <w:rsid w:val="0068363F"/>
    <w:rsid w:val="00684E48"/>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6F67"/>
    <w:rsid w:val="0069736E"/>
    <w:rsid w:val="00697548"/>
    <w:rsid w:val="006A0D83"/>
    <w:rsid w:val="006A17DD"/>
    <w:rsid w:val="006A1865"/>
    <w:rsid w:val="006A1984"/>
    <w:rsid w:val="006A1C87"/>
    <w:rsid w:val="006A2598"/>
    <w:rsid w:val="006A28A1"/>
    <w:rsid w:val="006A4AD1"/>
    <w:rsid w:val="006A4BA5"/>
    <w:rsid w:val="006A5898"/>
    <w:rsid w:val="006A609D"/>
    <w:rsid w:val="006A6173"/>
    <w:rsid w:val="006A621D"/>
    <w:rsid w:val="006A6224"/>
    <w:rsid w:val="006A6C06"/>
    <w:rsid w:val="006A76E5"/>
    <w:rsid w:val="006A7B6C"/>
    <w:rsid w:val="006B0E0B"/>
    <w:rsid w:val="006B1295"/>
    <w:rsid w:val="006B142A"/>
    <w:rsid w:val="006B237B"/>
    <w:rsid w:val="006B2F8A"/>
    <w:rsid w:val="006B39B1"/>
    <w:rsid w:val="006B431B"/>
    <w:rsid w:val="006B4D44"/>
    <w:rsid w:val="006B5443"/>
    <w:rsid w:val="006B5CE4"/>
    <w:rsid w:val="006B6A89"/>
    <w:rsid w:val="006B6E33"/>
    <w:rsid w:val="006B6EAD"/>
    <w:rsid w:val="006C083E"/>
    <w:rsid w:val="006C0987"/>
    <w:rsid w:val="006C1748"/>
    <w:rsid w:val="006C1E0C"/>
    <w:rsid w:val="006C23B4"/>
    <w:rsid w:val="006C2A4F"/>
    <w:rsid w:val="006C2AC6"/>
    <w:rsid w:val="006C3142"/>
    <w:rsid w:val="006C3772"/>
    <w:rsid w:val="006C400E"/>
    <w:rsid w:val="006C4D14"/>
    <w:rsid w:val="006C522F"/>
    <w:rsid w:val="006C6549"/>
    <w:rsid w:val="006C70FC"/>
    <w:rsid w:val="006C7208"/>
    <w:rsid w:val="006C7502"/>
    <w:rsid w:val="006C75A2"/>
    <w:rsid w:val="006C7896"/>
    <w:rsid w:val="006D0627"/>
    <w:rsid w:val="006D06E8"/>
    <w:rsid w:val="006D0D59"/>
    <w:rsid w:val="006D1506"/>
    <w:rsid w:val="006D153F"/>
    <w:rsid w:val="006D1FD2"/>
    <w:rsid w:val="006D2B4A"/>
    <w:rsid w:val="006D30BC"/>
    <w:rsid w:val="006D4974"/>
    <w:rsid w:val="006D4B6E"/>
    <w:rsid w:val="006D557C"/>
    <w:rsid w:val="006D7019"/>
    <w:rsid w:val="006D7894"/>
    <w:rsid w:val="006E0878"/>
    <w:rsid w:val="006E0DD2"/>
    <w:rsid w:val="006E1030"/>
    <w:rsid w:val="006E2E52"/>
    <w:rsid w:val="006E353F"/>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4BDE"/>
    <w:rsid w:val="006F547A"/>
    <w:rsid w:val="006F5552"/>
    <w:rsid w:val="006F5D76"/>
    <w:rsid w:val="006F6E31"/>
    <w:rsid w:val="006F7A3E"/>
    <w:rsid w:val="006F7C85"/>
    <w:rsid w:val="00700364"/>
    <w:rsid w:val="007007C6"/>
    <w:rsid w:val="00700A21"/>
    <w:rsid w:val="00701631"/>
    <w:rsid w:val="007016FE"/>
    <w:rsid w:val="007020B5"/>
    <w:rsid w:val="00702D1A"/>
    <w:rsid w:val="007036C5"/>
    <w:rsid w:val="007037BF"/>
    <w:rsid w:val="0070381F"/>
    <w:rsid w:val="00703C51"/>
    <w:rsid w:val="007047D2"/>
    <w:rsid w:val="00704D88"/>
    <w:rsid w:val="00705E56"/>
    <w:rsid w:val="00707764"/>
    <w:rsid w:val="007077C2"/>
    <w:rsid w:val="0070785C"/>
    <w:rsid w:val="007103A8"/>
    <w:rsid w:val="007103FA"/>
    <w:rsid w:val="00710F95"/>
    <w:rsid w:val="00711473"/>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3BB8"/>
    <w:rsid w:val="00723F65"/>
    <w:rsid w:val="00724433"/>
    <w:rsid w:val="0072556B"/>
    <w:rsid w:val="00726877"/>
    <w:rsid w:val="00726B10"/>
    <w:rsid w:val="007272BC"/>
    <w:rsid w:val="00727991"/>
    <w:rsid w:val="00727E9A"/>
    <w:rsid w:val="00730386"/>
    <w:rsid w:val="007304A4"/>
    <w:rsid w:val="00730797"/>
    <w:rsid w:val="0073135C"/>
    <w:rsid w:val="007316BF"/>
    <w:rsid w:val="00731D79"/>
    <w:rsid w:val="007321A0"/>
    <w:rsid w:val="00732559"/>
    <w:rsid w:val="0073302B"/>
    <w:rsid w:val="00733995"/>
    <w:rsid w:val="007345DC"/>
    <w:rsid w:val="007347F3"/>
    <w:rsid w:val="00734EC0"/>
    <w:rsid w:val="007351F5"/>
    <w:rsid w:val="0073761C"/>
    <w:rsid w:val="00737AF1"/>
    <w:rsid w:val="007406E1"/>
    <w:rsid w:val="00740AA9"/>
    <w:rsid w:val="00741001"/>
    <w:rsid w:val="0074178E"/>
    <w:rsid w:val="00742103"/>
    <w:rsid w:val="0074324E"/>
    <w:rsid w:val="00743932"/>
    <w:rsid w:val="007440DE"/>
    <w:rsid w:val="0074514A"/>
    <w:rsid w:val="0074551B"/>
    <w:rsid w:val="00745A63"/>
    <w:rsid w:val="00745AAB"/>
    <w:rsid w:val="00746414"/>
    <w:rsid w:val="00746990"/>
    <w:rsid w:val="00746AAF"/>
    <w:rsid w:val="00746B7F"/>
    <w:rsid w:val="00747057"/>
    <w:rsid w:val="007471AB"/>
    <w:rsid w:val="0074736C"/>
    <w:rsid w:val="00747516"/>
    <w:rsid w:val="007475D4"/>
    <w:rsid w:val="00747806"/>
    <w:rsid w:val="00750D16"/>
    <w:rsid w:val="00751823"/>
    <w:rsid w:val="00751C82"/>
    <w:rsid w:val="007530DC"/>
    <w:rsid w:val="007532A3"/>
    <w:rsid w:val="007548F7"/>
    <w:rsid w:val="007551BD"/>
    <w:rsid w:val="00755214"/>
    <w:rsid w:val="00755745"/>
    <w:rsid w:val="00756462"/>
    <w:rsid w:val="00756523"/>
    <w:rsid w:val="00760182"/>
    <w:rsid w:val="00762529"/>
    <w:rsid w:val="007627E9"/>
    <w:rsid w:val="007630D2"/>
    <w:rsid w:val="00763436"/>
    <w:rsid w:val="007650FA"/>
    <w:rsid w:val="00765400"/>
    <w:rsid w:val="00765678"/>
    <w:rsid w:val="00765B0F"/>
    <w:rsid w:val="00765F9E"/>
    <w:rsid w:val="00766169"/>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37D8"/>
    <w:rsid w:val="0077431C"/>
    <w:rsid w:val="00774498"/>
    <w:rsid w:val="00774B6F"/>
    <w:rsid w:val="00774EA5"/>
    <w:rsid w:val="00775AF3"/>
    <w:rsid w:val="00775CEC"/>
    <w:rsid w:val="00776521"/>
    <w:rsid w:val="00776BEB"/>
    <w:rsid w:val="00776D0D"/>
    <w:rsid w:val="0077730B"/>
    <w:rsid w:val="00777A8B"/>
    <w:rsid w:val="00780406"/>
    <w:rsid w:val="0078055D"/>
    <w:rsid w:val="00781A4D"/>
    <w:rsid w:val="00781D36"/>
    <w:rsid w:val="00781D70"/>
    <w:rsid w:val="00781E6F"/>
    <w:rsid w:val="00782132"/>
    <w:rsid w:val="00782363"/>
    <w:rsid w:val="00782BAE"/>
    <w:rsid w:val="00782C3D"/>
    <w:rsid w:val="00785288"/>
    <w:rsid w:val="007868D2"/>
    <w:rsid w:val="00787937"/>
    <w:rsid w:val="00787DA4"/>
    <w:rsid w:val="00787F7F"/>
    <w:rsid w:val="00790218"/>
    <w:rsid w:val="00790242"/>
    <w:rsid w:val="007905A0"/>
    <w:rsid w:val="007907E4"/>
    <w:rsid w:val="007910FD"/>
    <w:rsid w:val="0079116A"/>
    <w:rsid w:val="00792445"/>
    <w:rsid w:val="007928FC"/>
    <w:rsid w:val="00792B38"/>
    <w:rsid w:val="00792BAC"/>
    <w:rsid w:val="00792C60"/>
    <w:rsid w:val="00795D8E"/>
    <w:rsid w:val="00796191"/>
    <w:rsid w:val="007963B4"/>
    <w:rsid w:val="007971D1"/>
    <w:rsid w:val="00797250"/>
    <w:rsid w:val="007972D9"/>
    <w:rsid w:val="007A0E4F"/>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593E"/>
    <w:rsid w:val="007C6096"/>
    <w:rsid w:val="007C6504"/>
    <w:rsid w:val="007C6769"/>
    <w:rsid w:val="007C7113"/>
    <w:rsid w:val="007C789F"/>
    <w:rsid w:val="007D1248"/>
    <w:rsid w:val="007D1415"/>
    <w:rsid w:val="007D1506"/>
    <w:rsid w:val="007D1778"/>
    <w:rsid w:val="007D1DC5"/>
    <w:rsid w:val="007D2E59"/>
    <w:rsid w:val="007D3260"/>
    <w:rsid w:val="007D3643"/>
    <w:rsid w:val="007D3958"/>
    <w:rsid w:val="007D3977"/>
    <w:rsid w:val="007D4450"/>
    <w:rsid w:val="007D46B3"/>
    <w:rsid w:val="007D4C0C"/>
    <w:rsid w:val="007D4FB6"/>
    <w:rsid w:val="007D5363"/>
    <w:rsid w:val="007D5475"/>
    <w:rsid w:val="007D57BB"/>
    <w:rsid w:val="007D5E4A"/>
    <w:rsid w:val="007D63D4"/>
    <w:rsid w:val="007D788A"/>
    <w:rsid w:val="007D7A2B"/>
    <w:rsid w:val="007D7D4F"/>
    <w:rsid w:val="007E04C5"/>
    <w:rsid w:val="007E0580"/>
    <w:rsid w:val="007E1212"/>
    <w:rsid w:val="007E4325"/>
    <w:rsid w:val="007E7118"/>
    <w:rsid w:val="007E753A"/>
    <w:rsid w:val="007E7755"/>
    <w:rsid w:val="007F1E4A"/>
    <w:rsid w:val="007F1F44"/>
    <w:rsid w:val="007F200B"/>
    <w:rsid w:val="007F222E"/>
    <w:rsid w:val="007F22E1"/>
    <w:rsid w:val="007F2834"/>
    <w:rsid w:val="007F30EB"/>
    <w:rsid w:val="007F3422"/>
    <w:rsid w:val="007F3518"/>
    <w:rsid w:val="007F36F6"/>
    <w:rsid w:val="007F3DE5"/>
    <w:rsid w:val="007F5DE5"/>
    <w:rsid w:val="007F619A"/>
    <w:rsid w:val="007F6328"/>
    <w:rsid w:val="007F638F"/>
    <w:rsid w:val="007F6ABD"/>
    <w:rsid w:val="007F6B96"/>
    <w:rsid w:val="007F7355"/>
    <w:rsid w:val="007F7875"/>
    <w:rsid w:val="007F78B3"/>
    <w:rsid w:val="00800192"/>
    <w:rsid w:val="00800258"/>
    <w:rsid w:val="00800C22"/>
    <w:rsid w:val="008012CA"/>
    <w:rsid w:val="00801D1E"/>
    <w:rsid w:val="0080267D"/>
    <w:rsid w:val="0080282D"/>
    <w:rsid w:val="008028AE"/>
    <w:rsid w:val="00804524"/>
    <w:rsid w:val="008055A9"/>
    <w:rsid w:val="0080571B"/>
    <w:rsid w:val="0080593B"/>
    <w:rsid w:val="008060D6"/>
    <w:rsid w:val="00806299"/>
    <w:rsid w:val="00806811"/>
    <w:rsid w:val="00807A2F"/>
    <w:rsid w:val="00807A73"/>
    <w:rsid w:val="00807C5D"/>
    <w:rsid w:val="00810322"/>
    <w:rsid w:val="00810498"/>
    <w:rsid w:val="008106B0"/>
    <w:rsid w:val="008114EB"/>
    <w:rsid w:val="0081204A"/>
    <w:rsid w:val="0081236D"/>
    <w:rsid w:val="0081253B"/>
    <w:rsid w:val="0081375B"/>
    <w:rsid w:val="00813809"/>
    <w:rsid w:val="00813A58"/>
    <w:rsid w:val="00813D19"/>
    <w:rsid w:val="0081485D"/>
    <w:rsid w:val="0081494C"/>
    <w:rsid w:val="00815A29"/>
    <w:rsid w:val="0081630D"/>
    <w:rsid w:val="008169F2"/>
    <w:rsid w:val="00816D13"/>
    <w:rsid w:val="008172ED"/>
    <w:rsid w:val="008176FC"/>
    <w:rsid w:val="00821AAB"/>
    <w:rsid w:val="00821C42"/>
    <w:rsid w:val="00822876"/>
    <w:rsid w:val="0082428D"/>
    <w:rsid w:val="008254A6"/>
    <w:rsid w:val="0082552A"/>
    <w:rsid w:val="00825AB8"/>
    <w:rsid w:val="00825D84"/>
    <w:rsid w:val="00826238"/>
    <w:rsid w:val="00826444"/>
    <w:rsid w:val="00826E8F"/>
    <w:rsid w:val="00827203"/>
    <w:rsid w:val="00827AF0"/>
    <w:rsid w:val="0083041D"/>
    <w:rsid w:val="00831ECF"/>
    <w:rsid w:val="00832A62"/>
    <w:rsid w:val="00832DAA"/>
    <w:rsid w:val="00833539"/>
    <w:rsid w:val="00834120"/>
    <w:rsid w:val="00834E74"/>
    <w:rsid w:val="008353F4"/>
    <w:rsid w:val="00835920"/>
    <w:rsid w:val="00835A53"/>
    <w:rsid w:val="008363D9"/>
    <w:rsid w:val="00836684"/>
    <w:rsid w:val="008368DE"/>
    <w:rsid w:val="00836EE9"/>
    <w:rsid w:val="00840B87"/>
    <w:rsid w:val="008410DE"/>
    <w:rsid w:val="0084140C"/>
    <w:rsid w:val="008416E2"/>
    <w:rsid w:val="00841780"/>
    <w:rsid w:val="0084185F"/>
    <w:rsid w:val="00841CF2"/>
    <w:rsid w:val="00842A9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4FBF"/>
    <w:rsid w:val="00855291"/>
    <w:rsid w:val="00855565"/>
    <w:rsid w:val="00855D69"/>
    <w:rsid w:val="008567C2"/>
    <w:rsid w:val="008568A8"/>
    <w:rsid w:val="00856930"/>
    <w:rsid w:val="00856935"/>
    <w:rsid w:val="00856E65"/>
    <w:rsid w:val="00856EBA"/>
    <w:rsid w:val="00856ED8"/>
    <w:rsid w:val="0085731E"/>
    <w:rsid w:val="00857DF6"/>
    <w:rsid w:val="00857F63"/>
    <w:rsid w:val="00860358"/>
    <w:rsid w:val="00860E2C"/>
    <w:rsid w:val="008613CE"/>
    <w:rsid w:val="008619D0"/>
    <w:rsid w:val="00861A52"/>
    <w:rsid w:val="008632FF"/>
    <w:rsid w:val="0086336A"/>
    <w:rsid w:val="008639B6"/>
    <w:rsid w:val="00863C1E"/>
    <w:rsid w:val="00863DCE"/>
    <w:rsid w:val="00864F86"/>
    <w:rsid w:val="00865844"/>
    <w:rsid w:val="00867767"/>
    <w:rsid w:val="00867EF9"/>
    <w:rsid w:val="00867F29"/>
    <w:rsid w:val="00870C3D"/>
    <w:rsid w:val="008717B0"/>
    <w:rsid w:val="0087240B"/>
    <w:rsid w:val="00872B1F"/>
    <w:rsid w:val="008738D4"/>
    <w:rsid w:val="00873B3B"/>
    <w:rsid w:val="00873C8E"/>
    <w:rsid w:val="00874839"/>
    <w:rsid w:val="008751CA"/>
    <w:rsid w:val="00876CCA"/>
    <w:rsid w:val="0087730A"/>
    <w:rsid w:val="0088069D"/>
    <w:rsid w:val="00882478"/>
    <w:rsid w:val="00882586"/>
    <w:rsid w:val="008840B2"/>
    <w:rsid w:val="0088422E"/>
    <w:rsid w:val="00884778"/>
    <w:rsid w:val="00884CE1"/>
    <w:rsid w:val="00885B1A"/>
    <w:rsid w:val="0088623A"/>
    <w:rsid w:val="00887378"/>
    <w:rsid w:val="00887660"/>
    <w:rsid w:val="00887686"/>
    <w:rsid w:val="00887722"/>
    <w:rsid w:val="00887B54"/>
    <w:rsid w:val="00890B8E"/>
    <w:rsid w:val="00890F76"/>
    <w:rsid w:val="00891AC6"/>
    <w:rsid w:val="00891DCA"/>
    <w:rsid w:val="00892BB8"/>
    <w:rsid w:val="00893267"/>
    <w:rsid w:val="008934A4"/>
    <w:rsid w:val="008937EC"/>
    <w:rsid w:val="0089396F"/>
    <w:rsid w:val="00894346"/>
    <w:rsid w:val="00894BB9"/>
    <w:rsid w:val="00895C45"/>
    <w:rsid w:val="00897031"/>
    <w:rsid w:val="00897956"/>
    <w:rsid w:val="008A0139"/>
    <w:rsid w:val="008A02F0"/>
    <w:rsid w:val="008A0FB6"/>
    <w:rsid w:val="008A178E"/>
    <w:rsid w:val="008A2CE5"/>
    <w:rsid w:val="008A2DD4"/>
    <w:rsid w:val="008A3383"/>
    <w:rsid w:val="008A4232"/>
    <w:rsid w:val="008A4903"/>
    <w:rsid w:val="008A50A9"/>
    <w:rsid w:val="008A5880"/>
    <w:rsid w:val="008A61A3"/>
    <w:rsid w:val="008A659B"/>
    <w:rsid w:val="008A7337"/>
    <w:rsid w:val="008A738A"/>
    <w:rsid w:val="008A75B8"/>
    <w:rsid w:val="008B0130"/>
    <w:rsid w:val="008B0147"/>
    <w:rsid w:val="008B0204"/>
    <w:rsid w:val="008B0507"/>
    <w:rsid w:val="008B15E0"/>
    <w:rsid w:val="008B1C90"/>
    <w:rsid w:val="008B22B7"/>
    <w:rsid w:val="008B2427"/>
    <w:rsid w:val="008B2E56"/>
    <w:rsid w:val="008B37E5"/>
    <w:rsid w:val="008B4380"/>
    <w:rsid w:val="008B4809"/>
    <w:rsid w:val="008B6950"/>
    <w:rsid w:val="008B6B90"/>
    <w:rsid w:val="008B72BC"/>
    <w:rsid w:val="008B7522"/>
    <w:rsid w:val="008B7A5F"/>
    <w:rsid w:val="008C1893"/>
    <w:rsid w:val="008C204B"/>
    <w:rsid w:val="008C2A59"/>
    <w:rsid w:val="008C4580"/>
    <w:rsid w:val="008C51A5"/>
    <w:rsid w:val="008C5DD2"/>
    <w:rsid w:val="008C6CCD"/>
    <w:rsid w:val="008C7919"/>
    <w:rsid w:val="008D02B0"/>
    <w:rsid w:val="008D07E4"/>
    <w:rsid w:val="008D0D84"/>
    <w:rsid w:val="008D0EF7"/>
    <w:rsid w:val="008D15AD"/>
    <w:rsid w:val="008D198D"/>
    <w:rsid w:val="008D2FED"/>
    <w:rsid w:val="008D3943"/>
    <w:rsid w:val="008D3E1A"/>
    <w:rsid w:val="008D42B8"/>
    <w:rsid w:val="008D4358"/>
    <w:rsid w:val="008D4429"/>
    <w:rsid w:val="008D4F2E"/>
    <w:rsid w:val="008D5D1A"/>
    <w:rsid w:val="008D75AD"/>
    <w:rsid w:val="008D7FC8"/>
    <w:rsid w:val="008E0226"/>
    <w:rsid w:val="008E0B3F"/>
    <w:rsid w:val="008E1195"/>
    <w:rsid w:val="008E20E8"/>
    <w:rsid w:val="008E2544"/>
    <w:rsid w:val="008E3055"/>
    <w:rsid w:val="008E4242"/>
    <w:rsid w:val="008E489B"/>
    <w:rsid w:val="008E541E"/>
    <w:rsid w:val="008E5A46"/>
    <w:rsid w:val="008E6679"/>
    <w:rsid w:val="008E66D1"/>
    <w:rsid w:val="008E7087"/>
    <w:rsid w:val="008E7393"/>
    <w:rsid w:val="008F01DA"/>
    <w:rsid w:val="008F04FC"/>
    <w:rsid w:val="008F06AB"/>
    <w:rsid w:val="008F06FF"/>
    <w:rsid w:val="008F0C2E"/>
    <w:rsid w:val="008F0C8E"/>
    <w:rsid w:val="008F12D6"/>
    <w:rsid w:val="008F2ACB"/>
    <w:rsid w:val="008F2B8E"/>
    <w:rsid w:val="008F2DB4"/>
    <w:rsid w:val="008F3131"/>
    <w:rsid w:val="008F318A"/>
    <w:rsid w:val="008F3262"/>
    <w:rsid w:val="008F36A6"/>
    <w:rsid w:val="008F4235"/>
    <w:rsid w:val="008F4360"/>
    <w:rsid w:val="008F53DC"/>
    <w:rsid w:val="008F546E"/>
    <w:rsid w:val="008F5B1D"/>
    <w:rsid w:val="008F5EA2"/>
    <w:rsid w:val="008F5F14"/>
    <w:rsid w:val="008F7DF1"/>
    <w:rsid w:val="00900372"/>
    <w:rsid w:val="00900996"/>
    <w:rsid w:val="009013C8"/>
    <w:rsid w:val="00901506"/>
    <w:rsid w:val="009017DC"/>
    <w:rsid w:val="009039A0"/>
    <w:rsid w:val="00903F6C"/>
    <w:rsid w:val="009042DC"/>
    <w:rsid w:val="00904472"/>
    <w:rsid w:val="00904574"/>
    <w:rsid w:val="009047B1"/>
    <w:rsid w:val="00904A1B"/>
    <w:rsid w:val="00904C2E"/>
    <w:rsid w:val="00904CD7"/>
    <w:rsid w:val="0090521F"/>
    <w:rsid w:val="00906A3D"/>
    <w:rsid w:val="00907408"/>
    <w:rsid w:val="00907CB1"/>
    <w:rsid w:val="00907E0B"/>
    <w:rsid w:val="00907FD7"/>
    <w:rsid w:val="00910661"/>
    <w:rsid w:val="00911858"/>
    <w:rsid w:val="00911EBD"/>
    <w:rsid w:val="00912D42"/>
    <w:rsid w:val="00912F39"/>
    <w:rsid w:val="00913134"/>
    <w:rsid w:val="00913BA7"/>
    <w:rsid w:val="00913CF7"/>
    <w:rsid w:val="009145DA"/>
    <w:rsid w:val="009149DF"/>
    <w:rsid w:val="00916097"/>
    <w:rsid w:val="009162F8"/>
    <w:rsid w:val="009165A8"/>
    <w:rsid w:val="00916BDC"/>
    <w:rsid w:val="00917983"/>
    <w:rsid w:val="0092039D"/>
    <w:rsid w:val="00920709"/>
    <w:rsid w:val="00920F01"/>
    <w:rsid w:val="0092178E"/>
    <w:rsid w:val="009221A0"/>
    <w:rsid w:val="0092259A"/>
    <w:rsid w:val="009226D6"/>
    <w:rsid w:val="009228FA"/>
    <w:rsid w:val="009231E3"/>
    <w:rsid w:val="0092332C"/>
    <w:rsid w:val="00924157"/>
    <w:rsid w:val="009243D4"/>
    <w:rsid w:val="00924C92"/>
    <w:rsid w:val="00925411"/>
    <w:rsid w:val="00925672"/>
    <w:rsid w:val="00926BE1"/>
    <w:rsid w:val="00927107"/>
    <w:rsid w:val="00927968"/>
    <w:rsid w:val="00927BA8"/>
    <w:rsid w:val="0093036B"/>
    <w:rsid w:val="009306B0"/>
    <w:rsid w:val="00931DCF"/>
    <w:rsid w:val="0093213F"/>
    <w:rsid w:val="00932AE2"/>
    <w:rsid w:val="0093366D"/>
    <w:rsid w:val="009355AB"/>
    <w:rsid w:val="009361B5"/>
    <w:rsid w:val="00937525"/>
    <w:rsid w:val="00940619"/>
    <w:rsid w:val="00940838"/>
    <w:rsid w:val="0094096E"/>
    <w:rsid w:val="00940B6B"/>
    <w:rsid w:val="00941457"/>
    <w:rsid w:val="009418A4"/>
    <w:rsid w:val="009419D4"/>
    <w:rsid w:val="0094485F"/>
    <w:rsid w:val="00945B75"/>
    <w:rsid w:val="0094613B"/>
    <w:rsid w:val="00946D76"/>
    <w:rsid w:val="00947970"/>
    <w:rsid w:val="00947C42"/>
    <w:rsid w:val="00950393"/>
    <w:rsid w:val="00950F68"/>
    <w:rsid w:val="00951278"/>
    <w:rsid w:val="0095155F"/>
    <w:rsid w:val="0095168C"/>
    <w:rsid w:val="00952369"/>
    <w:rsid w:val="00952402"/>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2A38"/>
    <w:rsid w:val="009630BF"/>
    <w:rsid w:val="00963843"/>
    <w:rsid w:val="009638A0"/>
    <w:rsid w:val="00964FE9"/>
    <w:rsid w:val="00966AEC"/>
    <w:rsid w:val="00966AF5"/>
    <w:rsid w:val="00966C67"/>
    <w:rsid w:val="00966D48"/>
    <w:rsid w:val="00967525"/>
    <w:rsid w:val="00967A12"/>
    <w:rsid w:val="009702BC"/>
    <w:rsid w:val="00970C93"/>
    <w:rsid w:val="00971563"/>
    <w:rsid w:val="00972041"/>
    <w:rsid w:val="0097275D"/>
    <w:rsid w:val="00972D60"/>
    <w:rsid w:val="00972EDC"/>
    <w:rsid w:val="00973761"/>
    <w:rsid w:val="00973906"/>
    <w:rsid w:val="00973AB8"/>
    <w:rsid w:val="00974A80"/>
    <w:rsid w:val="00974BB9"/>
    <w:rsid w:val="009756DC"/>
    <w:rsid w:val="00976C0B"/>
    <w:rsid w:val="00977762"/>
    <w:rsid w:val="00977D5C"/>
    <w:rsid w:val="00977FAB"/>
    <w:rsid w:val="00981124"/>
    <w:rsid w:val="00981282"/>
    <w:rsid w:val="009813F4"/>
    <w:rsid w:val="00981BD6"/>
    <w:rsid w:val="009820AD"/>
    <w:rsid w:val="0098255A"/>
    <w:rsid w:val="00982584"/>
    <w:rsid w:val="00982E2D"/>
    <w:rsid w:val="009849B2"/>
    <w:rsid w:val="009859E7"/>
    <w:rsid w:val="00985B45"/>
    <w:rsid w:val="0098653D"/>
    <w:rsid w:val="00986FFF"/>
    <w:rsid w:val="009873FE"/>
    <w:rsid w:val="00987C7D"/>
    <w:rsid w:val="0099039E"/>
    <w:rsid w:val="0099056E"/>
    <w:rsid w:val="00990D7C"/>
    <w:rsid w:val="00991141"/>
    <w:rsid w:val="00991224"/>
    <w:rsid w:val="0099126F"/>
    <w:rsid w:val="00991F7E"/>
    <w:rsid w:val="00992214"/>
    <w:rsid w:val="00992D87"/>
    <w:rsid w:val="00993071"/>
    <w:rsid w:val="00993838"/>
    <w:rsid w:val="00994237"/>
    <w:rsid w:val="009944CB"/>
    <w:rsid w:val="00994AB6"/>
    <w:rsid w:val="00995132"/>
    <w:rsid w:val="009958E2"/>
    <w:rsid w:val="009A139F"/>
    <w:rsid w:val="009A1EF8"/>
    <w:rsid w:val="009A2462"/>
    <w:rsid w:val="009A36EB"/>
    <w:rsid w:val="009A3997"/>
    <w:rsid w:val="009A4374"/>
    <w:rsid w:val="009A4912"/>
    <w:rsid w:val="009A4DF2"/>
    <w:rsid w:val="009A5D90"/>
    <w:rsid w:val="009A6139"/>
    <w:rsid w:val="009A6891"/>
    <w:rsid w:val="009A68A5"/>
    <w:rsid w:val="009A6CFA"/>
    <w:rsid w:val="009A7464"/>
    <w:rsid w:val="009B0332"/>
    <w:rsid w:val="009B03A8"/>
    <w:rsid w:val="009B0738"/>
    <w:rsid w:val="009B18E1"/>
    <w:rsid w:val="009B1E41"/>
    <w:rsid w:val="009B21B3"/>
    <w:rsid w:val="009B2906"/>
    <w:rsid w:val="009B35D3"/>
    <w:rsid w:val="009B4992"/>
    <w:rsid w:val="009B4F21"/>
    <w:rsid w:val="009B575E"/>
    <w:rsid w:val="009B64E9"/>
    <w:rsid w:val="009B6D6C"/>
    <w:rsid w:val="009B729E"/>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96F"/>
    <w:rsid w:val="009D39B7"/>
    <w:rsid w:val="009D4167"/>
    <w:rsid w:val="009D5587"/>
    <w:rsid w:val="009D6CCC"/>
    <w:rsid w:val="009D78CA"/>
    <w:rsid w:val="009D7B13"/>
    <w:rsid w:val="009E0232"/>
    <w:rsid w:val="009E06A7"/>
    <w:rsid w:val="009E1549"/>
    <w:rsid w:val="009E1A11"/>
    <w:rsid w:val="009E309D"/>
    <w:rsid w:val="009E3AAE"/>
    <w:rsid w:val="009E3C1A"/>
    <w:rsid w:val="009E40A1"/>
    <w:rsid w:val="009E451E"/>
    <w:rsid w:val="009E476A"/>
    <w:rsid w:val="009E5B77"/>
    <w:rsid w:val="009E79EC"/>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5C44"/>
    <w:rsid w:val="00A16482"/>
    <w:rsid w:val="00A17FB1"/>
    <w:rsid w:val="00A2076B"/>
    <w:rsid w:val="00A20B5B"/>
    <w:rsid w:val="00A2125F"/>
    <w:rsid w:val="00A214BB"/>
    <w:rsid w:val="00A21E87"/>
    <w:rsid w:val="00A22C9E"/>
    <w:rsid w:val="00A23D60"/>
    <w:rsid w:val="00A242B1"/>
    <w:rsid w:val="00A24EC1"/>
    <w:rsid w:val="00A250B7"/>
    <w:rsid w:val="00A25146"/>
    <w:rsid w:val="00A27047"/>
    <w:rsid w:val="00A27346"/>
    <w:rsid w:val="00A27655"/>
    <w:rsid w:val="00A27E0D"/>
    <w:rsid w:val="00A27EF8"/>
    <w:rsid w:val="00A30756"/>
    <w:rsid w:val="00A30C49"/>
    <w:rsid w:val="00A31691"/>
    <w:rsid w:val="00A32D90"/>
    <w:rsid w:val="00A3353B"/>
    <w:rsid w:val="00A346D8"/>
    <w:rsid w:val="00A34981"/>
    <w:rsid w:val="00A353A7"/>
    <w:rsid w:val="00A35C1C"/>
    <w:rsid w:val="00A362C4"/>
    <w:rsid w:val="00A366FC"/>
    <w:rsid w:val="00A36FAD"/>
    <w:rsid w:val="00A372AB"/>
    <w:rsid w:val="00A40414"/>
    <w:rsid w:val="00A408E5"/>
    <w:rsid w:val="00A41876"/>
    <w:rsid w:val="00A419BB"/>
    <w:rsid w:val="00A4205E"/>
    <w:rsid w:val="00A420B6"/>
    <w:rsid w:val="00A428DF"/>
    <w:rsid w:val="00A45680"/>
    <w:rsid w:val="00A45785"/>
    <w:rsid w:val="00A45F3A"/>
    <w:rsid w:val="00A4682B"/>
    <w:rsid w:val="00A46942"/>
    <w:rsid w:val="00A5000B"/>
    <w:rsid w:val="00A505DE"/>
    <w:rsid w:val="00A51793"/>
    <w:rsid w:val="00A52052"/>
    <w:rsid w:val="00A5216F"/>
    <w:rsid w:val="00A53408"/>
    <w:rsid w:val="00A53652"/>
    <w:rsid w:val="00A537EE"/>
    <w:rsid w:val="00A5383C"/>
    <w:rsid w:val="00A53940"/>
    <w:rsid w:val="00A53C0A"/>
    <w:rsid w:val="00A54277"/>
    <w:rsid w:val="00A542DF"/>
    <w:rsid w:val="00A54B48"/>
    <w:rsid w:val="00A5574D"/>
    <w:rsid w:val="00A562C6"/>
    <w:rsid w:val="00A56611"/>
    <w:rsid w:val="00A56FB9"/>
    <w:rsid w:val="00A570F9"/>
    <w:rsid w:val="00A57590"/>
    <w:rsid w:val="00A57718"/>
    <w:rsid w:val="00A577DD"/>
    <w:rsid w:val="00A579EF"/>
    <w:rsid w:val="00A617A5"/>
    <w:rsid w:val="00A6243D"/>
    <w:rsid w:val="00A625D8"/>
    <w:rsid w:val="00A6263F"/>
    <w:rsid w:val="00A62B31"/>
    <w:rsid w:val="00A63102"/>
    <w:rsid w:val="00A64279"/>
    <w:rsid w:val="00A64338"/>
    <w:rsid w:val="00A64B73"/>
    <w:rsid w:val="00A661A1"/>
    <w:rsid w:val="00A66821"/>
    <w:rsid w:val="00A66BAE"/>
    <w:rsid w:val="00A66CA7"/>
    <w:rsid w:val="00A67881"/>
    <w:rsid w:val="00A67975"/>
    <w:rsid w:val="00A70470"/>
    <w:rsid w:val="00A7087F"/>
    <w:rsid w:val="00A70A55"/>
    <w:rsid w:val="00A70F7E"/>
    <w:rsid w:val="00A71352"/>
    <w:rsid w:val="00A72DAB"/>
    <w:rsid w:val="00A73CDD"/>
    <w:rsid w:val="00A74C5C"/>
    <w:rsid w:val="00A75942"/>
    <w:rsid w:val="00A76029"/>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732"/>
    <w:rsid w:val="00A90DCC"/>
    <w:rsid w:val="00A91068"/>
    <w:rsid w:val="00A91409"/>
    <w:rsid w:val="00A9220F"/>
    <w:rsid w:val="00A93076"/>
    <w:rsid w:val="00A93318"/>
    <w:rsid w:val="00A93438"/>
    <w:rsid w:val="00A93B15"/>
    <w:rsid w:val="00A951AF"/>
    <w:rsid w:val="00A9585E"/>
    <w:rsid w:val="00A961DB"/>
    <w:rsid w:val="00A9684C"/>
    <w:rsid w:val="00AA10D9"/>
    <w:rsid w:val="00AA10F8"/>
    <w:rsid w:val="00AA13F5"/>
    <w:rsid w:val="00AA253B"/>
    <w:rsid w:val="00AA26D5"/>
    <w:rsid w:val="00AA2BDD"/>
    <w:rsid w:val="00AA2ED2"/>
    <w:rsid w:val="00AA2F62"/>
    <w:rsid w:val="00AA30E0"/>
    <w:rsid w:val="00AA369A"/>
    <w:rsid w:val="00AA4307"/>
    <w:rsid w:val="00AA49B9"/>
    <w:rsid w:val="00AA4A66"/>
    <w:rsid w:val="00AA5CA8"/>
    <w:rsid w:val="00AA68E5"/>
    <w:rsid w:val="00AA6B40"/>
    <w:rsid w:val="00AA7006"/>
    <w:rsid w:val="00AA76CE"/>
    <w:rsid w:val="00AA7C3A"/>
    <w:rsid w:val="00AB06B1"/>
    <w:rsid w:val="00AB0BC6"/>
    <w:rsid w:val="00AB0D2A"/>
    <w:rsid w:val="00AB14A5"/>
    <w:rsid w:val="00AB18C2"/>
    <w:rsid w:val="00AB1FA9"/>
    <w:rsid w:val="00AB231D"/>
    <w:rsid w:val="00AB2776"/>
    <w:rsid w:val="00AB4163"/>
    <w:rsid w:val="00AB4265"/>
    <w:rsid w:val="00AB70E2"/>
    <w:rsid w:val="00AB7371"/>
    <w:rsid w:val="00AB74B9"/>
    <w:rsid w:val="00AB7929"/>
    <w:rsid w:val="00AC0004"/>
    <w:rsid w:val="00AC1163"/>
    <w:rsid w:val="00AC17F3"/>
    <w:rsid w:val="00AC1DE0"/>
    <w:rsid w:val="00AC1E78"/>
    <w:rsid w:val="00AC2205"/>
    <w:rsid w:val="00AC296D"/>
    <w:rsid w:val="00AC320C"/>
    <w:rsid w:val="00AC3271"/>
    <w:rsid w:val="00AC5D9D"/>
    <w:rsid w:val="00AC5DB3"/>
    <w:rsid w:val="00AC5FB8"/>
    <w:rsid w:val="00AC6A86"/>
    <w:rsid w:val="00AC72C9"/>
    <w:rsid w:val="00AC76FB"/>
    <w:rsid w:val="00AC7CC4"/>
    <w:rsid w:val="00AC7DDD"/>
    <w:rsid w:val="00AD1634"/>
    <w:rsid w:val="00AD186D"/>
    <w:rsid w:val="00AD3869"/>
    <w:rsid w:val="00AD42C6"/>
    <w:rsid w:val="00AD45D0"/>
    <w:rsid w:val="00AD48FB"/>
    <w:rsid w:val="00AD5235"/>
    <w:rsid w:val="00AD58FB"/>
    <w:rsid w:val="00AD5C23"/>
    <w:rsid w:val="00AD62CB"/>
    <w:rsid w:val="00AD735F"/>
    <w:rsid w:val="00AE0B13"/>
    <w:rsid w:val="00AE0BCC"/>
    <w:rsid w:val="00AE0DB0"/>
    <w:rsid w:val="00AE112C"/>
    <w:rsid w:val="00AE1844"/>
    <w:rsid w:val="00AE2D12"/>
    <w:rsid w:val="00AE53C8"/>
    <w:rsid w:val="00AE7A6C"/>
    <w:rsid w:val="00AE7F7F"/>
    <w:rsid w:val="00AF0227"/>
    <w:rsid w:val="00AF0F87"/>
    <w:rsid w:val="00AF200A"/>
    <w:rsid w:val="00AF2682"/>
    <w:rsid w:val="00AF29DE"/>
    <w:rsid w:val="00AF2CEB"/>
    <w:rsid w:val="00AF336F"/>
    <w:rsid w:val="00AF38F2"/>
    <w:rsid w:val="00AF404B"/>
    <w:rsid w:val="00AF4518"/>
    <w:rsid w:val="00AF46E9"/>
    <w:rsid w:val="00AF47F8"/>
    <w:rsid w:val="00AF4C70"/>
    <w:rsid w:val="00AF4C81"/>
    <w:rsid w:val="00AF57FC"/>
    <w:rsid w:val="00AF5A4F"/>
    <w:rsid w:val="00AF5ABC"/>
    <w:rsid w:val="00AF7B5C"/>
    <w:rsid w:val="00B000A4"/>
    <w:rsid w:val="00B015A1"/>
    <w:rsid w:val="00B01FBD"/>
    <w:rsid w:val="00B047CA"/>
    <w:rsid w:val="00B04926"/>
    <w:rsid w:val="00B04B07"/>
    <w:rsid w:val="00B04F79"/>
    <w:rsid w:val="00B05198"/>
    <w:rsid w:val="00B05BEA"/>
    <w:rsid w:val="00B05C1D"/>
    <w:rsid w:val="00B0710D"/>
    <w:rsid w:val="00B07643"/>
    <w:rsid w:val="00B076E6"/>
    <w:rsid w:val="00B1025E"/>
    <w:rsid w:val="00B102EB"/>
    <w:rsid w:val="00B105E2"/>
    <w:rsid w:val="00B10C6C"/>
    <w:rsid w:val="00B10D51"/>
    <w:rsid w:val="00B10F80"/>
    <w:rsid w:val="00B1179B"/>
    <w:rsid w:val="00B11D6E"/>
    <w:rsid w:val="00B11F61"/>
    <w:rsid w:val="00B11FEC"/>
    <w:rsid w:val="00B121F0"/>
    <w:rsid w:val="00B13211"/>
    <w:rsid w:val="00B13802"/>
    <w:rsid w:val="00B1392A"/>
    <w:rsid w:val="00B1394F"/>
    <w:rsid w:val="00B13A36"/>
    <w:rsid w:val="00B15E8E"/>
    <w:rsid w:val="00B169DC"/>
    <w:rsid w:val="00B206E5"/>
    <w:rsid w:val="00B2094D"/>
    <w:rsid w:val="00B209E0"/>
    <w:rsid w:val="00B2178F"/>
    <w:rsid w:val="00B21E09"/>
    <w:rsid w:val="00B21F98"/>
    <w:rsid w:val="00B22B64"/>
    <w:rsid w:val="00B22D2E"/>
    <w:rsid w:val="00B23F89"/>
    <w:rsid w:val="00B24E72"/>
    <w:rsid w:val="00B25A20"/>
    <w:rsid w:val="00B25F30"/>
    <w:rsid w:val="00B26590"/>
    <w:rsid w:val="00B26917"/>
    <w:rsid w:val="00B27384"/>
    <w:rsid w:val="00B2781B"/>
    <w:rsid w:val="00B27E10"/>
    <w:rsid w:val="00B302A1"/>
    <w:rsid w:val="00B303F3"/>
    <w:rsid w:val="00B30943"/>
    <w:rsid w:val="00B31244"/>
    <w:rsid w:val="00B31D17"/>
    <w:rsid w:val="00B33A50"/>
    <w:rsid w:val="00B34380"/>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9C5"/>
    <w:rsid w:val="00B44A02"/>
    <w:rsid w:val="00B44B53"/>
    <w:rsid w:val="00B461F8"/>
    <w:rsid w:val="00B46FF0"/>
    <w:rsid w:val="00B47963"/>
    <w:rsid w:val="00B510CC"/>
    <w:rsid w:val="00B512F3"/>
    <w:rsid w:val="00B51502"/>
    <w:rsid w:val="00B51A60"/>
    <w:rsid w:val="00B5220A"/>
    <w:rsid w:val="00B525A3"/>
    <w:rsid w:val="00B52C95"/>
    <w:rsid w:val="00B52FC2"/>
    <w:rsid w:val="00B5322A"/>
    <w:rsid w:val="00B53EC2"/>
    <w:rsid w:val="00B54714"/>
    <w:rsid w:val="00B54BB7"/>
    <w:rsid w:val="00B550C2"/>
    <w:rsid w:val="00B55BAD"/>
    <w:rsid w:val="00B56822"/>
    <w:rsid w:val="00B56906"/>
    <w:rsid w:val="00B5773F"/>
    <w:rsid w:val="00B577AC"/>
    <w:rsid w:val="00B57826"/>
    <w:rsid w:val="00B6011D"/>
    <w:rsid w:val="00B6019F"/>
    <w:rsid w:val="00B612CC"/>
    <w:rsid w:val="00B614DA"/>
    <w:rsid w:val="00B6180C"/>
    <w:rsid w:val="00B62118"/>
    <w:rsid w:val="00B63C73"/>
    <w:rsid w:val="00B63FC0"/>
    <w:rsid w:val="00B661CF"/>
    <w:rsid w:val="00B66A0F"/>
    <w:rsid w:val="00B67343"/>
    <w:rsid w:val="00B70762"/>
    <w:rsid w:val="00B7084F"/>
    <w:rsid w:val="00B70CC1"/>
    <w:rsid w:val="00B71708"/>
    <w:rsid w:val="00B7172F"/>
    <w:rsid w:val="00B71E09"/>
    <w:rsid w:val="00B736A9"/>
    <w:rsid w:val="00B7397C"/>
    <w:rsid w:val="00B742F1"/>
    <w:rsid w:val="00B74C1C"/>
    <w:rsid w:val="00B75146"/>
    <w:rsid w:val="00B75196"/>
    <w:rsid w:val="00B76069"/>
    <w:rsid w:val="00B77A2B"/>
    <w:rsid w:val="00B77C40"/>
    <w:rsid w:val="00B802B9"/>
    <w:rsid w:val="00B80E8E"/>
    <w:rsid w:val="00B819AE"/>
    <w:rsid w:val="00B81DD3"/>
    <w:rsid w:val="00B85B91"/>
    <w:rsid w:val="00B8641B"/>
    <w:rsid w:val="00B86890"/>
    <w:rsid w:val="00B900CF"/>
    <w:rsid w:val="00B90C3E"/>
    <w:rsid w:val="00B9109F"/>
    <w:rsid w:val="00B915BC"/>
    <w:rsid w:val="00B91763"/>
    <w:rsid w:val="00B92FB9"/>
    <w:rsid w:val="00B9358D"/>
    <w:rsid w:val="00B94211"/>
    <w:rsid w:val="00B943BD"/>
    <w:rsid w:val="00B946AD"/>
    <w:rsid w:val="00B94960"/>
    <w:rsid w:val="00B9517A"/>
    <w:rsid w:val="00B95670"/>
    <w:rsid w:val="00B97682"/>
    <w:rsid w:val="00BA0592"/>
    <w:rsid w:val="00BA07A2"/>
    <w:rsid w:val="00BA0985"/>
    <w:rsid w:val="00BA0A8D"/>
    <w:rsid w:val="00BA2475"/>
    <w:rsid w:val="00BA2E34"/>
    <w:rsid w:val="00BA3237"/>
    <w:rsid w:val="00BA3B4E"/>
    <w:rsid w:val="00BA405C"/>
    <w:rsid w:val="00BA4F93"/>
    <w:rsid w:val="00BA51B2"/>
    <w:rsid w:val="00BA5432"/>
    <w:rsid w:val="00BA55BF"/>
    <w:rsid w:val="00BA5607"/>
    <w:rsid w:val="00BA5D1D"/>
    <w:rsid w:val="00BA5D2D"/>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0D24"/>
    <w:rsid w:val="00BF20A4"/>
    <w:rsid w:val="00BF21BC"/>
    <w:rsid w:val="00BF23D4"/>
    <w:rsid w:val="00BF2E26"/>
    <w:rsid w:val="00BF2EAD"/>
    <w:rsid w:val="00BF35C4"/>
    <w:rsid w:val="00BF3798"/>
    <w:rsid w:val="00BF48C1"/>
    <w:rsid w:val="00BF55F0"/>
    <w:rsid w:val="00BF6651"/>
    <w:rsid w:val="00BF6EAE"/>
    <w:rsid w:val="00BF7214"/>
    <w:rsid w:val="00BF77AC"/>
    <w:rsid w:val="00BF781B"/>
    <w:rsid w:val="00BF7E41"/>
    <w:rsid w:val="00C01158"/>
    <w:rsid w:val="00C014FE"/>
    <w:rsid w:val="00C01951"/>
    <w:rsid w:val="00C028B0"/>
    <w:rsid w:val="00C02ED3"/>
    <w:rsid w:val="00C03B2B"/>
    <w:rsid w:val="00C03F08"/>
    <w:rsid w:val="00C03FAF"/>
    <w:rsid w:val="00C041F7"/>
    <w:rsid w:val="00C04A21"/>
    <w:rsid w:val="00C062A8"/>
    <w:rsid w:val="00C073E1"/>
    <w:rsid w:val="00C0779F"/>
    <w:rsid w:val="00C078D0"/>
    <w:rsid w:val="00C079FF"/>
    <w:rsid w:val="00C1001D"/>
    <w:rsid w:val="00C10C1D"/>
    <w:rsid w:val="00C10FE9"/>
    <w:rsid w:val="00C11135"/>
    <w:rsid w:val="00C113D8"/>
    <w:rsid w:val="00C11448"/>
    <w:rsid w:val="00C13956"/>
    <w:rsid w:val="00C139C1"/>
    <w:rsid w:val="00C14192"/>
    <w:rsid w:val="00C14F65"/>
    <w:rsid w:val="00C152FC"/>
    <w:rsid w:val="00C15558"/>
    <w:rsid w:val="00C159D4"/>
    <w:rsid w:val="00C15CB7"/>
    <w:rsid w:val="00C166C1"/>
    <w:rsid w:val="00C17CD4"/>
    <w:rsid w:val="00C2053D"/>
    <w:rsid w:val="00C20AD8"/>
    <w:rsid w:val="00C21114"/>
    <w:rsid w:val="00C21666"/>
    <w:rsid w:val="00C21923"/>
    <w:rsid w:val="00C224F2"/>
    <w:rsid w:val="00C22A59"/>
    <w:rsid w:val="00C2637B"/>
    <w:rsid w:val="00C275A9"/>
    <w:rsid w:val="00C2796C"/>
    <w:rsid w:val="00C3059C"/>
    <w:rsid w:val="00C3102D"/>
    <w:rsid w:val="00C31104"/>
    <w:rsid w:val="00C3136D"/>
    <w:rsid w:val="00C31D2F"/>
    <w:rsid w:val="00C32A09"/>
    <w:rsid w:val="00C33523"/>
    <w:rsid w:val="00C33757"/>
    <w:rsid w:val="00C33C06"/>
    <w:rsid w:val="00C33E05"/>
    <w:rsid w:val="00C34323"/>
    <w:rsid w:val="00C354AE"/>
    <w:rsid w:val="00C35980"/>
    <w:rsid w:val="00C35C6E"/>
    <w:rsid w:val="00C367F8"/>
    <w:rsid w:val="00C40F66"/>
    <w:rsid w:val="00C41294"/>
    <w:rsid w:val="00C42F8B"/>
    <w:rsid w:val="00C43172"/>
    <w:rsid w:val="00C434C7"/>
    <w:rsid w:val="00C436A4"/>
    <w:rsid w:val="00C43808"/>
    <w:rsid w:val="00C43DE3"/>
    <w:rsid w:val="00C43E7C"/>
    <w:rsid w:val="00C441DC"/>
    <w:rsid w:val="00C444CD"/>
    <w:rsid w:val="00C448D0"/>
    <w:rsid w:val="00C45C74"/>
    <w:rsid w:val="00C4670D"/>
    <w:rsid w:val="00C46789"/>
    <w:rsid w:val="00C46B78"/>
    <w:rsid w:val="00C47CD2"/>
    <w:rsid w:val="00C47E45"/>
    <w:rsid w:val="00C47F8C"/>
    <w:rsid w:val="00C50253"/>
    <w:rsid w:val="00C50BC5"/>
    <w:rsid w:val="00C51460"/>
    <w:rsid w:val="00C51E44"/>
    <w:rsid w:val="00C51EAC"/>
    <w:rsid w:val="00C51F7D"/>
    <w:rsid w:val="00C5205D"/>
    <w:rsid w:val="00C52EF0"/>
    <w:rsid w:val="00C538BE"/>
    <w:rsid w:val="00C53B42"/>
    <w:rsid w:val="00C53B46"/>
    <w:rsid w:val="00C54CD9"/>
    <w:rsid w:val="00C55B12"/>
    <w:rsid w:val="00C55BF9"/>
    <w:rsid w:val="00C56B72"/>
    <w:rsid w:val="00C5769D"/>
    <w:rsid w:val="00C57805"/>
    <w:rsid w:val="00C60061"/>
    <w:rsid w:val="00C60A31"/>
    <w:rsid w:val="00C60E4B"/>
    <w:rsid w:val="00C61B6C"/>
    <w:rsid w:val="00C61FAB"/>
    <w:rsid w:val="00C61FDD"/>
    <w:rsid w:val="00C62AFF"/>
    <w:rsid w:val="00C63FFF"/>
    <w:rsid w:val="00C6401C"/>
    <w:rsid w:val="00C64389"/>
    <w:rsid w:val="00C64C9F"/>
    <w:rsid w:val="00C65E83"/>
    <w:rsid w:val="00C66864"/>
    <w:rsid w:val="00C66C51"/>
    <w:rsid w:val="00C66E8D"/>
    <w:rsid w:val="00C672FF"/>
    <w:rsid w:val="00C67A0E"/>
    <w:rsid w:val="00C70E77"/>
    <w:rsid w:val="00C70ECC"/>
    <w:rsid w:val="00C71019"/>
    <w:rsid w:val="00C715E6"/>
    <w:rsid w:val="00C721D2"/>
    <w:rsid w:val="00C724C0"/>
    <w:rsid w:val="00C72978"/>
    <w:rsid w:val="00C7314F"/>
    <w:rsid w:val="00C73E0F"/>
    <w:rsid w:val="00C75363"/>
    <w:rsid w:val="00C75D3F"/>
    <w:rsid w:val="00C76134"/>
    <w:rsid w:val="00C76595"/>
    <w:rsid w:val="00C7664C"/>
    <w:rsid w:val="00C7688B"/>
    <w:rsid w:val="00C76B2B"/>
    <w:rsid w:val="00C76BCA"/>
    <w:rsid w:val="00C76C6E"/>
    <w:rsid w:val="00C76F54"/>
    <w:rsid w:val="00C7770D"/>
    <w:rsid w:val="00C77E51"/>
    <w:rsid w:val="00C8046C"/>
    <w:rsid w:val="00C814B8"/>
    <w:rsid w:val="00C814EF"/>
    <w:rsid w:val="00C819F6"/>
    <w:rsid w:val="00C82429"/>
    <w:rsid w:val="00C82560"/>
    <w:rsid w:val="00C83043"/>
    <w:rsid w:val="00C834EA"/>
    <w:rsid w:val="00C83776"/>
    <w:rsid w:val="00C83A72"/>
    <w:rsid w:val="00C842F8"/>
    <w:rsid w:val="00C84F0F"/>
    <w:rsid w:val="00C85288"/>
    <w:rsid w:val="00C855FB"/>
    <w:rsid w:val="00C85AD9"/>
    <w:rsid w:val="00C860FD"/>
    <w:rsid w:val="00C861A7"/>
    <w:rsid w:val="00C86322"/>
    <w:rsid w:val="00C86978"/>
    <w:rsid w:val="00C877DA"/>
    <w:rsid w:val="00C909E9"/>
    <w:rsid w:val="00C9114C"/>
    <w:rsid w:val="00C91A33"/>
    <w:rsid w:val="00C91B25"/>
    <w:rsid w:val="00C92E4A"/>
    <w:rsid w:val="00C93FE5"/>
    <w:rsid w:val="00C94B0D"/>
    <w:rsid w:val="00C94C68"/>
    <w:rsid w:val="00C94E54"/>
    <w:rsid w:val="00C94FA0"/>
    <w:rsid w:val="00C95268"/>
    <w:rsid w:val="00C95C6F"/>
    <w:rsid w:val="00C9620D"/>
    <w:rsid w:val="00C97216"/>
    <w:rsid w:val="00C97E6D"/>
    <w:rsid w:val="00CA0317"/>
    <w:rsid w:val="00CA0413"/>
    <w:rsid w:val="00CA1A45"/>
    <w:rsid w:val="00CA1A87"/>
    <w:rsid w:val="00CA1F8E"/>
    <w:rsid w:val="00CA3418"/>
    <w:rsid w:val="00CA6292"/>
    <w:rsid w:val="00CA6BC7"/>
    <w:rsid w:val="00CA7411"/>
    <w:rsid w:val="00CA746F"/>
    <w:rsid w:val="00CA75C3"/>
    <w:rsid w:val="00CA7920"/>
    <w:rsid w:val="00CA7E30"/>
    <w:rsid w:val="00CA7E69"/>
    <w:rsid w:val="00CA7EC9"/>
    <w:rsid w:val="00CB08A7"/>
    <w:rsid w:val="00CB1316"/>
    <w:rsid w:val="00CB1D5F"/>
    <w:rsid w:val="00CB1E37"/>
    <w:rsid w:val="00CB227F"/>
    <w:rsid w:val="00CB2BDE"/>
    <w:rsid w:val="00CB37B7"/>
    <w:rsid w:val="00CB3D43"/>
    <w:rsid w:val="00CB3D4D"/>
    <w:rsid w:val="00CB4CD9"/>
    <w:rsid w:val="00CB54FE"/>
    <w:rsid w:val="00CB6577"/>
    <w:rsid w:val="00CB678B"/>
    <w:rsid w:val="00CB6945"/>
    <w:rsid w:val="00CB6C51"/>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FCA"/>
    <w:rsid w:val="00CC4315"/>
    <w:rsid w:val="00CC48CA"/>
    <w:rsid w:val="00CC4917"/>
    <w:rsid w:val="00CC4AAB"/>
    <w:rsid w:val="00CC66DF"/>
    <w:rsid w:val="00CC683D"/>
    <w:rsid w:val="00CC6BFF"/>
    <w:rsid w:val="00CC7523"/>
    <w:rsid w:val="00CC75FB"/>
    <w:rsid w:val="00CC798D"/>
    <w:rsid w:val="00CC7ED8"/>
    <w:rsid w:val="00CD0461"/>
    <w:rsid w:val="00CD05E3"/>
    <w:rsid w:val="00CD085A"/>
    <w:rsid w:val="00CD145B"/>
    <w:rsid w:val="00CD204C"/>
    <w:rsid w:val="00CD2355"/>
    <w:rsid w:val="00CD2A86"/>
    <w:rsid w:val="00CD2ECF"/>
    <w:rsid w:val="00CD32B9"/>
    <w:rsid w:val="00CD3A32"/>
    <w:rsid w:val="00CD4266"/>
    <w:rsid w:val="00CD47FC"/>
    <w:rsid w:val="00CD53AF"/>
    <w:rsid w:val="00CD69A8"/>
    <w:rsid w:val="00CD6D73"/>
    <w:rsid w:val="00CD6DD2"/>
    <w:rsid w:val="00CD7C22"/>
    <w:rsid w:val="00CE09DB"/>
    <w:rsid w:val="00CE14EA"/>
    <w:rsid w:val="00CE19B0"/>
    <w:rsid w:val="00CE2632"/>
    <w:rsid w:val="00CE27BD"/>
    <w:rsid w:val="00CE4276"/>
    <w:rsid w:val="00CE4458"/>
    <w:rsid w:val="00CE502B"/>
    <w:rsid w:val="00CE732A"/>
    <w:rsid w:val="00CE74F3"/>
    <w:rsid w:val="00CE776C"/>
    <w:rsid w:val="00CE77D5"/>
    <w:rsid w:val="00CE7938"/>
    <w:rsid w:val="00CE7A72"/>
    <w:rsid w:val="00CE7B8C"/>
    <w:rsid w:val="00CF09F3"/>
    <w:rsid w:val="00CF0BF4"/>
    <w:rsid w:val="00CF110A"/>
    <w:rsid w:val="00CF14D4"/>
    <w:rsid w:val="00CF20D2"/>
    <w:rsid w:val="00CF374C"/>
    <w:rsid w:val="00CF404F"/>
    <w:rsid w:val="00CF456F"/>
    <w:rsid w:val="00CF5684"/>
    <w:rsid w:val="00CF5BFE"/>
    <w:rsid w:val="00CF732F"/>
    <w:rsid w:val="00CF7331"/>
    <w:rsid w:val="00CF798D"/>
    <w:rsid w:val="00CF7F8E"/>
    <w:rsid w:val="00D001B9"/>
    <w:rsid w:val="00D00201"/>
    <w:rsid w:val="00D00950"/>
    <w:rsid w:val="00D00C1F"/>
    <w:rsid w:val="00D01054"/>
    <w:rsid w:val="00D01755"/>
    <w:rsid w:val="00D01960"/>
    <w:rsid w:val="00D02529"/>
    <w:rsid w:val="00D03085"/>
    <w:rsid w:val="00D042EC"/>
    <w:rsid w:val="00D04750"/>
    <w:rsid w:val="00D0544A"/>
    <w:rsid w:val="00D055F7"/>
    <w:rsid w:val="00D0573B"/>
    <w:rsid w:val="00D05E49"/>
    <w:rsid w:val="00D060A5"/>
    <w:rsid w:val="00D06719"/>
    <w:rsid w:val="00D07002"/>
    <w:rsid w:val="00D07619"/>
    <w:rsid w:val="00D07CA9"/>
    <w:rsid w:val="00D10775"/>
    <w:rsid w:val="00D107FE"/>
    <w:rsid w:val="00D1081D"/>
    <w:rsid w:val="00D109A8"/>
    <w:rsid w:val="00D112DF"/>
    <w:rsid w:val="00D1165A"/>
    <w:rsid w:val="00D1215D"/>
    <w:rsid w:val="00D12361"/>
    <w:rsid w:val="00D12894"/>
    <w:rsid w:val="00D12D3E"/>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6B8D"/>
    <w:rsid w:val="00D2722F"/>
    <w:rsid w:val="00D27259"/>
    <w:rsid w:val="00D272B7"/>
    <w:rsid w:val="00D30897"/>
    <w:rsid w:val="00D30ABC"/>
    <w:rsid w:val="00D3122A"/>
    <w:rsid w:val="00D31448"/>
    <w:rsid w:val="00D31622"/>
    <w:rsid w:val="00D316C4"/>
    <w:rsid w:val="00D32551"/>
    <w:rsid w:val="00D325D4"/>
    <w:rsid w:val="00D34F4A"/>
    <w:rsid w:val="00D35353"/>
    <w:rsid w:val="00D3567C"/>
    <w:rsid w:val="00D358DD"/>
    <w:rsid w:val="00D35A43"/>
    <w:rsid w:val="00D35BE5"/>
    <w:rsid w:val="00D366FC"/>
    <w:rsid w:val="00D36F64"/>
    <w:rsid w:val="00D37C88"/>
    <w:rsid w:val="00D37EFF"/>
    <w:rsid w:val="00D40762"/>
    <w:rsid w:val="00D4202A"/>
    <w:rsid w:val="00D42B95"/>
    <w:rsid w:val="00D44A9D"/>
    <w:rsid w:val="00D45412"/>
    <w:rsid w:val="00D4652A"/>
    <w:rsid w:val="00D46C9B"/>
    <w:rsid w:val="00D471CC"/>
    <w:rsid w:val="00D50157"/>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42ED"/>
    <w:rsid w:val="00D65C42"/>
    <w:rsid w:val="00D6614F"/>
    <w:rsid w:val="00D66174"/>
    <w:rsid w:val="00D661D7"/>
    <w:rsid w:val="00D66282"/>
    <w:rsid w:val="00D66FAB"/>
    <w:rsid w:val="00D67358"/>
    <w:rsid w:val="00D67557"/>
    <w:rsid w:val="00D708D4"/>
    <w:rsid w:val="00D714C8"/>
    <w:rsid w:val="00D7270D"/>
    <w:rsid w:val="00D73234"/>
    <w:rsid w:val="00D73380"/>
    <w:rsid w:val="00D73788"/>
    <w:rsid w:val="00D744E8"/>
    <w:rsid w:val="00D747C6"/>
    <w:rsid w:val="00D74AE3"/>
    <w:rsid w:val="00D75D8E"/>
    <w:rsid w:val="00D7641E"/>
    <w:rsid w:val="00D76694"/>
    <w:rsid w:val="00D76971"/>
    <w:rsid w:val="00D76E3F"/>
    <w:rsid w:val="00D77700"/>
    <w:rsid w:val="00D77742"/>
    <w:rsid w:val="00D80B21"/>
    <w:rsid w:val="00D81760"/>
    <w:rsid w:val="00D81A5D"/>
    <w:rsid w:val="00D829B5"/>
    <w:rsid w:val="00D82F36"/>
    <w:rsid w:val="00D83570"/>
    <w:rsid w:val="00D84351"/>
    <w:rsid w:val="00D846E1"/>
    <w:rsid w:val="00D84BDF"/>
    <w:rsid w:val="00D84CA0"/>
    <w:rsid w:val="00D86DAC"/>
    <w:rsid w:val="00D87706"/>
    <w:rsid w:val="00D87CBD"/>
    <w:rsid w:val="00D90E5E"/>
    <w:rsid w:val="00D90F7A"/>
    <w:rsid w:val="00D91253"/>
    <w:rsid w:val="00D912A5"/>
    <w:rsid w:val="00D92057"/>
    <w:rsid w:val="00D9329D"/>
    <w:rsid w:val="00D935F2"/>
    <w:rsid w:val="00D93C14"/>
    <w:rsid w:val="00D93EF4"/>
    <w:rsid w:val="00D94365"/>
    <w:rsid w:val="00D943F8"/>
    <w:rsid w:val="00D944CB"/>
    <w:rsid w:val="00D94532"/>
    <w:rsid w:val="00D94752"/>
    <w:rsid w:val="00D94B54"/>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129E"/>
    <w:rsid w:val="00DB29FB"/>
    <w:rsid w:val="00DB3573"/>
    <w:rsid w:val="00DB3DB4"/>
    <w:rsid w:val="00DB3DED"/>
    <w:rsid w:val="00DB4A45"/>
    <w:rsid w:val="00DB50E8"/>
    <w:rsid w:val="00DB526B"/>
    <w:rsid w:val="00DB5981"/>
    <w:rsid w:val="00DC0022"/>
    <w:rsid w:val="00DC0373"/>
    <w:rsid w:val="00DC0618"/>
    <w:rsid w:val="00DC0CB4"/>
    <w:rsid w:val="00DC1190"/>
    <w:rsid w:val="00DC1963"/>
    <w:rsid w:val="00DC2E1C"/>
    <w:rsid w:val="00DC3D8C"/>
    <w:rsid w:val="00DC3EBD"/>
    <w:rsid w:val="00DC4040"/>
    <w:rsid w:val="00DC4067"/>
    <w:rsid w:val="00DC4361"/>
    <w:rsid w:val="00DC4E12"/>
    <w:rsid w:val="00DC6207"/>
    <w:rsid w:val="00DC6880"/>
    <w:rsid w:val="00DC6E3D"/>
    <w:rsid w:val="00DC73C5"/>
    <w:rsid w:val="00DC78C8"/>
    <w:rsid w:val="00DD1F80"/>
    <w:rsid w:val="00DD261E"/>
    <w:rsid w:val="00DD26A0"/>
    <w:rsid w:val="00DD294D"/>
    <w:rsid w:val="00DD2B2B"/>
    <w:rsid w:val="00DD2C25"/>
    <w:rsid w:val="00DD2D21"/>
    <w:rsid w:val="00DD33F4"/>
    <w:rsid w:val="00DD3B00"/>
    <w:rsid w:val="00DD3B75"/>
    <w:rsid w:val="00DD4275"/>
    <w:rsid w:val="00DD497C"/>
    <w:rsid w:val="00DD49E4"/>
    <w:rsid w:val="00DD549F"/>
    <w:rsid w:val="00DD6153"/>
    <w:rsid w:val="00DD6389"/>
    <w:rsid w:val="00DD67E0"/>
    <w:rsid w:val="00DD6AA1"/>
    <w:rsid w:val="00DD70CF"/>
    <w:rsid w:val="00DD7B5E"/>
    <w:rsid w:val="00DE0406"/>
    <w:rsid w:val="00DE18AD"/>
    <w:rsid w:val="00DE2692"/>
    <w:rsid w:val="00DE2A1B"/>
    <w:rsid w:val="00DE2EB6"/>
    <w:rsid w:val="00DE2EEB"/>
    <w:rsid w:val="00DE3BDC"/>
    <w:rsid w:val="00DE3D45"/>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4FA"/>
    <w:rsid w:val="00DF6765"/>
    <w:rsid w:val="00DF67C7"/>
    <w:rsid w:val="00DF69C8"/>
    <w:rsid w:val="00DF6C5B"/>
    <w:rsid w:val="00DF6C64"/>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54D"/>
    <w:rsid w:val="00E07736"/>
    <w:rsid w:val="00E10248"/>
    <w:rsid w:val="00E11E1F"/>
    <w:rsid w:val="00E13207"/>
    <w:rsid w:val="00E13C02"/>
    <w:rsid w:val="00E13C14"/>
    <w:rsid w:val="00E14C9A"/>
    <w:rsid w:val="00E15914"/>
    <w:rsid w:val="00E16259"/>
    <w:rsid w:val="00E167DF"/>
    <w:rsid w:val="00E16968"/>
    <w:rsid w:val="00E169CC"/>
    <w:rsid w:val="00E17316"/>
    <w:rsid w:val="00E1777B"/>
    <w:rsid w:val="00E203AF"/>
    <w:rsid w:val="00E21F37"/>
    <w:rsid w:val="00E22B85"/>
    <w:rsid w:val="00E22D57"/>
    <w:rsid w:val="00E236A1"/>
    <w:rsid w:val="00E24164"/>
    <w:rsid w:val="00E2470E"/>
    <w:rsid w:val="00E24831"/>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6F"/>
    <w:rsid w:val="00E42DE6"/>
    <w:rsid w:val="00E446A2"/>
    <w:rsid w:val="00E44BF3"/>
    <w:rsid w:val="00E44DC7"/>
    <w:rsid w:val="00E45233"/>
    <w:rsid w:val="00E45D6A"/>
    <w:rsid w:val="00E46552"/>
    <w:rsid w:val="00E46836"/>
    <w:rsid w:val="00E46EBF"/>
    <w:rsid w:val="00E46F19"/>
    <w:rsid w:val="00E47E55"/>
    <w:rsid w:val="00E50000"/>
    <w:rsid w:val="00E50334"/>
    <w:rsid w:val="00E505EC"/>
    <w:rsid w:val="00E50A32"/>
    <w:rsid w:val="00E51244"/>
    <w:rsid w:val="00E5142E"/>
    <w:rsid w:val="00E5223A"/>
    <w:rsid w:val="00E53232"/>
    <w:rsid w:val="00E53365"/>
    <w:rsid w:val="00E53D3F"/>
    <w:rsid w:val="00E53D9E"/>
    <w:rsid w:val="00E546BE"/>
    <w:rsid w:val="00E5479A"/>
    <w:rsid w:val="00E550F9"/>
    <w:rsid w:val="00E557B3"/>
    <w:rsid w:val="00E5669C"/>
    <w:rsid w:val="00E56A47"/>
    <w:rsid w:val="00E57609"/>
    <w:rsid w:val="00E57F36"/>
    <w:rsid w:val="00E60E03"/>
    <w:rsid w:val="00E61C3F"/>
    <w:rsid w:val="00E61FDE"/>
    <w:rsid w:val="00E62B50"/>
    <w:rsid w:val="00E62B82"/>
    <w:rsid w:val="00E63823"/>
    <w:rsid w:val="00E63A7E"/>
    <w:rsid w:val="00E63CF8"/>
    <w:rsid w:val="00E645E5"/>
    <w:rsid w:val="00E64979"/>
    <w:rsid w:val="00E652EA"/>
    <w:rsid w:val="00E6627A"/>
    <w:rsid w:val="00E701F1"/>
    <w:rsid w:val="00E705CD"/>
    <w:rsid w:val="00E708CA"/>
    <w:rsid w:val="00E7109D"/>
    <w:rsid w:val="00E7135C"/>
    <w:rsid w:val="00E71C9F"/>
    <w:rsid w:val="00E720A7"/>
    <w:rsid w:val="00E72645"/>
    <w:rsid w:val="00E7286D"/>
    <w:rsid w:val="00E72BBC"/>
    <w:rsid w:val="00E72E94"/>
    <w:rsid w:val="00E730E8"/>
    <w:rsid w:val="00E731B2"/>
    <w:rsid w:val="00E73B02"/>
    <w:rsid w:val="00E73BFE"/>
    <w:rsid w:val="00E74041"/>
    <w:rsid w:val="00E74271"/>
    <w:rsid w:val="00E746B2"/>
    <w:rsid w:val="00E74CB2"/>
    <w:rsid w:val="00E75617"/>
    <w:rsid w:val="00E77589"/>
    <w:rsid w:val="00E778B9"/>
    <w:rsid w:val="00E77EE9"/>
    <w:rsid w:val="00E8060D"/>
    <w:rsid w:val="00E80F1E"/>
    <w:rsid w:val="00E815BE"/>
    <w:rsid w:val="00E818B5"/>
    <w:rsid w:val="00E81A56"/>
    <w:rsid w:val="00E82F3B"/>
    <w:rsid w:val="00E834E8"/>
    <w:rsid w:val="00E84545"/>
    <w:rsid w:val="00E84FF2"/>
    <w:rsid w:val="00E8504E"/>
    <w:rsid w:val="00E85168"/>
    <w:rsid w:val="00E852D2"/>
    <w:rsid w:val="00E85EEB"/>
    <w:rsid w:val="00E90216"/>
    <w:rsid w:val="00E906E6"/>
    <w:rsid w:val="00E90707"/>
    <w:rsid w:val="00E922ED"/>
    <w:rsid w:val="00E925F0"/>
    <w:rsid w:val="00E92D40"/>
    <w:rsid w:val="00E93970"/>
    <w:rsid w:val="00E93CDF"/>
    <w:rsid w:val="00E94053"/>
    <w:rsid w:val="00E941E5"/>
    <w:rsid w:val="00E948C4"/>
    <w:rsid w:val="00E94BD5"/>
    <w:rsid w:val="00E94D52"/>
    <w:rsid w:val="00E94F9F"/>
    <w:rsid w:val="00E95110"/>
    <w:rsid w:val="00E9524A"/>
    <w:rsid w:val="00E963E9"/>
    <w:rsid w:val="00E964DF"/>
    <w:rsid w:val="00EA08D5"/>
    <w:rsid w:val="00EA0DF8"/>
    <w:rsid w:val="00EA2542"/>
    <w:rsid w:val="00EA2CEB"/>
    <w:rsid w:val="00EA2D25"/>
    <w:rsid w:val="00EA370E"/>
    <w:rsid w:val="00EA4240"/>
    <w:rsid w:val="00EA44A3"/>
    <w:rsid w:val="00EA5AC1"/>
    <w:rsid w:val="00EA6462"/>
    <w:rsid w:val="00EA6B73"/>
    <w:rsid w:val="00EA7A0F"/>
    <w:rsid w:val="00EB0385"/>
    <w:rsid w:val="00EB14B8"/>
    <w:rsid w:val="00EB1A4C"/>
    <w:rsid w:val="00EB2377"/>
    <w:rsid w:val="00EB3F48"/>
    <w:rsid w:val="00EB5995"/>
    <w:rsid w:val="00EB634C"/>
    <w:rsid w:val="00EB66A4"/>
    <w:rsid w:val="00EB67DB"/>
    <w:rsid w:val="00EB704C"/>
    <w:rsid w:val="00EB76B5"/>
    <w:rsid w:val="00EB7ED4"/>
    <w:rsid w:val="00EC0036"/>
    <w:rsid w:val="00EC018D"/>
    <w:rsid w:val="00EC04C7"/>
    <w:rsid w:val="00EC0884"/>
    <w:rsid w:val="00EC09AC"/>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93"/>
    <w:rsid w:val="00ED3EE7"/>
    <w:rsid w:val="00ED43AE"/>
    <w:rsid w:val="00ED4D04"/>
    <w:rsid w:val="00ED4D17"/>
    <w:rsid w:val="00ED50B5"/>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2F7"/>
    <w:rsid w:val="00EE7E55"/>
    <w:rsid w:val="00EF054E"/>
    <w:rsid w:val="00EF070D"/>
    <w:rsid w:val="00EF0A77"/>
    <w:rsid w:val="00EF1DF2"/>
    <w:rsid w:val="00EF1E33"/>
    <w:rsid w:val="00EF2802"/>
    <w:rsid w:val="00EF2D8F"/>
    <w:rsid w:val="00EF304F"/>
    <w:rsid w:val="00EF3586"/>
    <w:rsid w:val="00EF3A99"/>
    <w:rsid w:val="00EF4B81"/>
    <w:rsid w:val="00EF56AD"/>
    <w:rsid w:val="00EF7923"/>
    <w:rsid w:val="00EF793A"/>
    <w:rsid w:val="00EF7C82"/>
    <w:rsid w:val="00EF7D7F"/>
    <w:rsid w:val="00F0096E"/>
    <w:rsid w:val="00F01A08"/>
    <w:rsid w:val="00F01C0B"/>
    <w:rsid w:val="00F01FEF"/>
    <w:rsid w:val="00F021E0"/>
    <w:rsid w:val="00F025BC"/>
    <w:rsid w:val="00F02939"/>
    <w:rsid w:val="00F029B5"/>
    <w:rsid w:val="00F02D31"/>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17A7D"/>
    <w:rsid w:val="00F20211"/>
    <w:rsid w:val="00F205DF"/>
    <w:rsid w:val="00F20E7B"/>
    <w:rsid w:val="00F216F8"/>
    <w:rsid w:val="00F223AC"/>
    <w:rsid w:val="00F22B85"/>
    <w:rsid w:val="00F2313C"/>
    <w:rsid w:val="00F2349A"/>
    <w:rsid w:val="00F23567"/>
    <w:rsid w:val="00F2391A"/>
    <w:rsid w:val="00F23C53"/>
    <w:rsid w:val="00F24CDC"/>
    <w:rsid w:val="00F24DD6"/>
    <w:rsid w:val="00F25124"/>
    <w:rsid w:val="00F25C1C"/>
    <w:rsid w:val="00F25D46"/>
    <w:rsid w:val="00F26502"/>
    <w:rsid w:val="00F30A76"/>
    <w:rsid w:val="00F32769"/>
    <w:rsid w:val="00F34DEB"/>
    <w:rsid w:val="00F354FC"/>
    <w:rsid w:val="00F35856"/>
    <w:rsid w:val="00F3679B"/>
    <w:rsid w:val="00F3765B"/>
    <w:rsid w:val="00F419CC"/>
    <w:rsid w:val="00F41A53"/>
    <w:rsid w:val="00F41FD0"/>
    <w:rsid w:val="00F424C0"/>
    <w:rsid w:val="00F425FC"/>
    <w:rsid w:val="00F42699"/>
    <w:rsid w:val="00F430D0"/>
    <w:rsid w:val="00F43561"/>
    <w:rsid w:val="00F4402A"/>
    <w:rsid w:val="00F443B9"/>
    <w:rsid w:val="00F44980"/>
    <w:rsid w:val="00F44A33"/>
    <w:rsid w:val="00F44CCE"/>
    <w:rsid w:val="00F453AC"/>
    <w:rsid w:val="00F455CD"/>
    <w:rsid w:val="00F46167"/>
    <w:rsid w:val="00F47797"/>
    <w:rsid w:val="00F478DE"/>
    <w:rsid w:val="00F47A8F"/>
    <w:rsid w:val="00F50074"/>
    <w:rsid w:val="00F5017A"/>
    <w:rsid w:val="00F501B3"/>
    <w:rsid w:val="00F50A6E"/>
    <w:rsid w:val="00F50F82"/>
    <w:rsid w:val="00F5115F"/>
    <w:rsid w:val="00F5119A"/>
    <w:rsid w:val="00F514F2"/>
    <w:rsid w:val="00F51C0C"/>
    <w:rsid w:val="00F51E69"/>
    <w:rsid w:val="00F52A84"/>
    <w:rsid w:val="00F53366"/>
    <w:rsid w:val="00F5396E"/>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3F7"/>
    <w:rsid w:val="00F7086B"/>
    <w:rsid w:val="00F70C7F"/>
    <w:rsid w:val="00F70D53"/>
    <w:rsid w:val="00F70E65"/>
    <w:rsid w:val="00F716E0"/>
    <w:rsid w:val="00F7172B"/>
    <w:rsid w:val="00F72017"/>
    <w:rsid w:val="00F7262D"/>
    <w:rsid w:val="00F72797"/>
    <w:rsid w:val="00F73862"/>
    <w:rsid w:val="00F73FBB"/>
    <w:rsid w:val="00F750DF"/>
    <w:rsid w:val="00F7590B"/>
    <w:rsid w:val="00F75FB6"/>
    <w:rsid w:val="00F775CB"/>
    <w:rsid w:val="00F77FB3"/>
    <w:rsid w:val="00F80CDA"/>
    <w:rsid w:val="00F829D6"/>
    <w:rsid w:val="00F82BED"/>
    <w:rsid w:val="00F8335E"/>
    <w:rsid w:val="00F8336E"/>
    <w:rsid w:val="00F8388C"/>
    <w:rsid w:val="00F84428"/>
    <w:rsid w:val="00F8452A"/>
    <w:rsid w:val="00F85B9B"/>
    <w:rsid w:val="00F86213"/>
    <w:rsid w:val="00F86990"/>
    <w:rsid w:val="00F86E7C"/>
    <w:rsid w:val="00F8717A"/>
    <w:rsid w:val="00F90815"/>
    <w:rsid w:val="00F912B0"/>
    <w:rsid w:val="00F93A4A"/>
    <w:rsid w:val="00F94079"/>
    <w:rsid w:val="00F94234"/>
    <w:rsid w:val="00F94477"/>
    <w:rsid w:val="00F94591"/>
    <w:rsid w:val="00F947A5"/>
    <w:rsid w:val="00F954D2"/>
    <w:rsid w:val="00F95F06"/>
    <w:rsid w:val="00F97680"/>
    <w:rsid w:val="00FA1181"/>
    <w:rsid w:val="00FA1201"/>
    <w:rsid w:val="00FA1AE7"/>
    <w:rsid w:val="00FA223C"/>
    <w:rsid w:val="00FA35E5"/>
    <w:rsid w:val="00FA427F"/>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283B"/>
    <w:rsid w:val="00FC3101"/>
    <w:rsid w:val="00FC4CC7"/>
    <w:rsid w:val="00FC5CF1"/>
    <w:rsid w:val="00FC6391"/>
    <w:rsid w:val="00FC6E6B"/>
    <w:rsid w:val="00FC7B89"/>
    <w:rsid w:val="00FC7CCA"/>
    <w:rsid w:val="00FD0752"/>
    <w:rsid w:val="00FD0F8A"/>
    <w:rsid w:val="00FD2DE8"/>
    <w:rsid w:val="00FD39C3"/>
    <w:rsid w:val="00FD42B0"/>
    <w:rsid w:val="00FD4320"/>
    <w:rsid w:val="00FD4432"/>
    <w:rsid w:val="00FD4B64"/>
    <w:rsid w:val="00FD4E15"/>
    <w:rsid w:val="00FD5256"/>
    <w:rsid w:val="00FD53EB"/>
    <w:rsid w:val="00FD614B"/>
    <w:rsid w:val="00FD6430"/>
    <w:rsid w:val="00FD7B25"/>
    <w:rsid w:val="00FD7BFF"/>
    <w:rsid w:val="00FE000B"/>
    <w:rsid w:val="00FE00F0"/>
    <w:rsid w:val="00FE02E7"/>
    <w:rsid w:val="00FE0F70"/>
    <w:rsid w:val="00FE131A"/>
    <w:rsid w:val="00FE16FE"/>
    <w:rsid w:val="00FE1A04"/>
    <w:rsid w:val="00FE2016"/>
    <w:rsid w:val="00FE280C"/>
    <w:rsid w:val="00FE29E6"/>
    <w:rsid w:val="00FE2B60"/>
    <w:rsid w:val="00FE3CA2"/>
    <w:rsid w:val="00FE3DAB"/>
    <w:rsid w:val="00FE435E"/>
    <w:rsid w:val="00FE46DD"/>
    <w:rsid w:val="00FE4C02"/>
    <w:rsid w:val="00FE4EAD"/>
    <w:rsid w:val="00FE5D13"/>
    <w:rsid w:val="00FE5F52"/>
    <w:rsid w:val="00FE63D2"/>
    <w:rsid w:val="00FE6C4C"/>
    <w:rsid w:val="00FE7041"/>
    <w:rsid w:val="00FF0FE1"/>
    <w:rsid w:val="00FF1229"/>
    <w:rsid w:val="00FF1774"/>
    <w:rsid w:val="00FF205C"/>
    <w:rsid w:val="00FF2D29"/>
    <w:rsid w:val="00FF38DA"/>
    <w:rsid w:val="00FF3B79"/>
    <w:rsid w:val="00FF3BC4"/>
    <w:rsid w:val="00FF3CB1"/>
    <w:rsid w:val="00FF470E"/>
    <w:rsid w:val="00FF5042"/>
    <w:rsid w:val="00FF515B"/>
    <w:rsid w:val="00FF516A"/>
    <w:rsid w:val="00FF53F2"/>
    <w:rsid w:val="00FF54BC"/>
    <w:rsid w:val="00FF5B34"/>
    <w:rsid w:val="00FF5E83"/>
    <w:rsid w:val="00FF6109"/>
    <w:rsid w:val="00FF627E"/>
    <w:rsid w:val="00FF7250"/>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F3297"/>
  <w15:docId w15:val="{1B7C0280-B6C8-4A70-9E6A-491A10CE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7C"/>
    <w:pPr>
      <w:widowControl w:val="0"/>
      <w:autoSpaceDE w:val="0"/>
      <w:autoSpaceDN w:val="0"/>
      <w:adjustRightInd w:val="0"/>
      <w:ind w:firstLine="284"/>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765B0F"/>
    <w:pPr>
      <w:keepNext/>
      <w:keepLines/>
      <w:spacing w:before="60"/>
      <w:ind w:firstLine="0"/>
      <w:outlineLvl w:val="2"/>
    </w:pPr>
    <w:rPr>
      <w:rFonts w:ascii="Arial" w:hAnsi="Arial" w:cs="Arial"/>
      <w:color w:val="00008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302780"/>
    <w:pPr>
      <w:numPr>
        <w:numId w:val="37"/>
      </w:numPr>
      <w:tabs>
        <w:tab w:val="clear" w:pos="360"/>
        <w:tab w:val="num" w:pos="294"/>
      </w:tabs>
      <w:ind w:left="294" w:hanging="294"/>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erChar">
    <w:name w:val="Header Char"/>
    <w:basedOn w:val="DefaultParagraphFont"/>
    <w:link w:val="Header"/>
    <w:uiPriority w:val="99"/>
    <w:rsid w:val="00B21E09"/>
    <w:rPr>
      <w:sz w:val="22"/>
    </w:rPr>
  </w:style>
  <w:style w:type="character" w:customStyle="1" w:styleId="Heading2Char">
    <w:name w:val="Heading 2 Char"/>
    <w:basedOn w:val="DefaultParagraphFont"/>
    <w:link w:val="Heading2"/>
    <w:locked/>
    <w:rsid w:val="00B21E09"/>
    <w:rPr>
      <w:rFonts w:ascii="Arial" w:hAnsi="Arial" w:cs="Arial"/>
      <w:b/>
      <w:bCs/>
      <w:color w:val="000080"/>
    </w:rPr>
  </w:style>
  <w:style w:type="table" w:styleId="TableGrid">
    <w:name w:val="Table Grid"/>
    <w:basedOn w:val="TableNormal"/>
    <w:uiPriority w:val="39"/>
    <w:rsid w:val="00977762"/>
    <w:pPr>
      <w:ind w:firstLine="284"/>
    </w:pPr>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66884574">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C:\Users\e5104725\AppData\Roaming\Microsoft\Word\inbrief.pdf"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willthekiwi=AT=gmail.com"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Proportions_of_responders.xlsx" TargetMode="External"/><Relationship Id="rId33" Type="http://schemas.openxmlformats.org/officeDocument/2006/relationships/hyperlink" Target="https://martin-buchheit.ne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sci.org/2015/" TargetMode="External"/><Relationship Id="rId24" Type="http://schemas.openxmlformats.org/officeDocument/2006/relationships/hyperlink" Target="Sampling_SD_of_SDir.xlsx" TargetMode="External"/><Relationship Id="rId32" Type="http://schemas.openxmlformats.org/officeDocument/2006/relationships/hyperlink" Target="https://martin-buchheit.net/2017/07/03/houston-we-still-have-a-proble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2006/wghss.htm" TargetMode="External"/><Relationship Id="rId28" Type="http://schemas.openxmlformats.org/officeDocument/2006/relationships/hyperlink" Target="sasir.htm" TargetMode="External"/><Relationship Id="rId36" Type="http://schemas.openxmlformats.org/officeDocument/2006/relationships/fontTable" Target="fontTable.xml"/><Relationship Id="rId10" Type="http://schemas.openxmlformats.org/officeDocument/2006/relationships/hyperlink" Target="http://sportsci.org/2018/" TargetMode="External"/><Relationship Id="rId19" Type="http://schemas.openxmlformats.org/officeDocument/2006/relationships/footer" Target="footer3.xml"/><Relationship Id="rId31" Type="http://schemas.openxmlformats.org/officeDocument/2006/relationships/hyperlink" Target="file:///D:\Will's%20Documents\sportsci\copyrigh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Users\e5104725\AppData\Roaming\Microsoft\Word\inbrief.docx" TargetMode="External"/><Relationship Id="rId22" Type="http://schemas.openxmlformats.org/officeDocument/2006/relationships/hyperlink" Target="file:///D:\Will's%20Documents\sportsci\copyright.html" TargetMode="External"/><Relationship Id="rId27" Type="http://schemas.openxmlformats.org/officeDocument/2006/relationships/hyperlink" Target="Proportions_of_responders.xlsx" TargetMode="External"/><Relationship Id="rId30" Type="http://schemas.openxmlformats.org/officeDocument/2006/relationships/hyperlink" Target="mailto:mb=AT=martin-buchheit.net?subject=SPSR"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B7A7-9EB7-4C85-AFC6-388B4E00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3120</TotalTime>
  <Pages>3</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Sportscience In-brief</vt:lpstr>
    </vt:vector>
  </TitlesOfParts>
  <Company>Victoria University</Company>
  <LinksUpToDate>false</LinksUpToDate>
  <CharactersWithSpaces>14357</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Sportscience In-brief</dc:title>
  <dc:subject/>
  <dc:creator>Will Hopkins</dc:creator>
  <cp:keywords/>
  <dc:description/>
  <cp:lastModifiedBy>Will</cp:lastModifiedBy>
  <cp:revision>37</cp:revision>
  <cp:lastPrinted>2018-02-26T08:21:00Z</cp:lastPrinted>
  <dcterms:created xsi:type="dcterms:W3CDTF">2016-11-06T21:22:00Z</dcterms:created>
  <dcterms:modified xsi:type="dcterms:W3CDTF">2018-03-12T20:08:00Z</dcterms:modified>
</cp:coreProperties>
</file>